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340" w:rsidRDefault="00F25340" w:rsidP="00C5268A">
      <w:pPr>
        <w:spacing w:after="0"/>
        <w:jc w:val="both"/>
        <w:rPr>
          <w:rFonts w:ascii="Arial" w:hAnsi="Arial" w:cs="Arial"/>
          <w:b/>
          <w:sz w:val="28"/>
          <w:szCs w:val="28"/>
          <w:lang w:val="en-GB"/>
        </w:rPr>
      </w:pPr>
    </w:p>
    <w:p w:rsidR="00C5268A" w:rsidRDefault="002E03F0" w:rsidP="00C5268A">
      <w:pPr>
        <w:spacing w:after="0"/>
        <w:jc w:val="both"/>
        <w:rPr>
          <w:rFonts w:ascii="Arial" w:hAnsi="Arial" w:cs="Arial"/>
          <w:b/>
          <w:sz w:val="28"/>
          <w:szCs w:val="28"/>
          <w:lang w:val="en-GB"/>
        </w:rPr>
      </w:pPr>
      <w:r w:rsidRPr="00C5268A">
        <w:rPr>
          <w:rFonts w:ascii="Arial" w:hAnsi="Arial" w:cs="Arial"/>
          <w:b/>
          <w:sz w:val="28"/>
          <w:szCs w:val="28"/>
          <w:lang w:val="en-GB"/>
        </w:rPr>
        <w:t>Portfolio Assessment: Should we start with the academics having a go?</w:t>
      </w:r>
    </w:p>
    <w:p w:rsidR="001F1931" w:rsidRPr="00C5268A" w:rsidRDefault="00C5268A" w:rsidP="00C5268A">
      <w:pPr>
        <w:spacing w:after="0"/>
        <w:jc w:val="both"/>
        <w:rPr>
          <w:rFonts w:ascii="Arial" w:hAnsi="Arial" w:cs="Arial"/>
          <w:b/>
          <w:sz w:val="28"/>
          <w:szCs w:val="28"/>
          <w:lang w:val="en-GB"/>
        </w:rPr>
      </w:pPr>
      <w:r>
        <w:rPr>
          <w:rFonts w:ascii="Arial" w:hAnsi="Arial" w:cs="Arial"/>
          <w:lang w:val="en-GB"/>
        </w:rPr>
        <w:t xml:space="preserve">Di Kelly, </w:t>
      </w:r>
      <w:r w:rsidR="001F1931" w:rsidRPr="00C5268A">
        <w:rPr>
          <w:rFonts w:ascii="Arial" w:hAnsi="Arial" w:cs="Arial"/>
          <w:lang w:val="en-GB"/>
        </w:rPr>
        <w:t>De Montfort University</w:t>
      </w:r>
      <w:r>
        <w:rPr>
          <w:rFonts w:ascii="Arial" w:hAnsi="Arial" w:cs="Arial"/>
          <w:lang w:val="en-GB"/>
        </w:rPr>
        <w:t>,</w:t>
      </w:r>
      <w:r w:rsidR="001F1931" w:rsidRPr="00C5268A">
        <w:rPr>
          <w:rFonts w:ascii="Arial" w:hAnsi="Arial" w:cs="Arial"/>
          <w:lang w:val="en-GB"/>
        </w:rPr>
        <w:t xml:space="preserve"> Leicester</w:t>
      </w:r>
    </w:p>
    <w:p w:rsidR="001F1931" w:rsidRPr="00C5268A" w:rsidRDefault="001F1931" w:rsidP="00C5268A">
      <w:pPr>
        <w:spacing w:after="0"/>
        <w:jc w:val="both"/>
        <w:rPr>
          <w:rFonts w:ascii="Arial" w:hAnsi="Arial" w:cs="Arial"/>
          <w:lang w:val="en-GB"/>
        </w:rPr>
      </w:pPr>
    </w:p>
    <w:p w:rsidR="00C5268A" w:rsidRDefault="00C5268A" w:rsidP="00C5268A">
      <w:pPr>
        <w:spacing w:after="0"/>
        <w:jc w:val="both"/>
        <w:rPr>
          <w:rFonts w:ascii="Arial" w:hAnsi="Arial" w:cs="Arial"/>
          <w:b/>
          <w:sz w:val="24"/>
          <w:szCs w:val="24"/>
          <w:lang w:val="en-GB"/>
        </w:rPr>
      </w:pPr>
    </w:p>
    <w:p w:rsidR="001F1931" w:rsidRPr="00C5268A" w:rsidRDefault="001F1931" w:rsidP="00C5268A">
      <w:pPr>
        <w:spacing w:after="0"/>
        <w:jc w:val="both"/>
        <w:rPr>
          <w:rFonts w:ascii="Arial" w:hAnsi="Arial" w:cs="Arial"/>
          <w:b/>
          <w:sz w:val="24"/>
          <w:szCs w:val="24"/>
          <w:lang w:val="en-GB"/>
        </w:rPr>
      </w:pPr>
      <w:r w:rsidRPr="00C5268A">
        <w:rPr>
          <w:rFonts w:ascii="Arial" w:hAnsi="Arial" w:cs="Arial"/>
          <w:b/>
          <w:sz w:val="24"/>
          <w:szCs w:val="24"/>
          <w:lang w:val="en-GB"/>
        </w:rPr>
        <w:t>Summary</w:t>
      </w:r>
      <w:r w:rsidR="0077644A" w:rsidRPr="00C5268A">
        <w:rPr>
          <w:rFonts w:ascii="Arial" w:hAnsi="Arial" w:cs="Arial"/>
          <w:b/>
          <w:sz w:val="24"/>
          <w:szCs w:val="24"/>
          <w:lang w:val="en-GB"/>
        </w:rPr>
        <w:t xml:space="preserve"> </w:t>
      </w:r>
    </w:p>
    <w:p w:rsidR="0077644A" w:rsidRPr="00C5268A" w:rsidRDefault="0077644A" w:rsidP="00C5268A">
      <w:pPr>
        <w:spacing w:after="0"/>
        <w:jc w:val="both"/>
        <w:rPr>
          <w:rFonts w:ascii="Arial" w:hAnsi="Arial" w:cs="Arial"/>
          <w:lang w:val="en-GB"/>
        </w:rPr>
      </w:pPr>
      <w:r w:rsidRPr="00C5268A">
        <w:rPr>
          <w:rFonts w:ascii="Arial" w:hAnsi="Arial" w:cs="Arial"/>
          <w:lang w:val="en-GB"/>
        </w:rPr>
        <w:t>In this paper I</w:t>
      </w:r>
      <w:r w:rsidR="00E376B5" w:rsidRPr="00C5268A">
        <w:rPr>
          <w:rFonts w:ascii="Arial" w:hAnsi="Arial" w:cs="Arial"/>
          <w:lang w:val="en-GB"/>
        </w:rPr>
        <w:t xml:space="preserve"> shall consider</w:t>
      </w:r>
      <w:r w:rsidRPr="00C5268A">
        <w:rPr>
          <w:rFonts w:ascii="Arial" w:hAnsi="Arial" w:cs="Arial"/>
          <w:lang w:val="en-GB"/>
        </w:rPr>
        <w:t xml:space="preserve"> potential b</w:t>
      </w:r>
      <w:r w:rsidR="00E376B5" w:rsidRPr="00C5268A">
        <w:rPr>
          <w:rFonts w:ascii="Arial" w:hAnsi="Arial" w:cs="Arial"/>
          <w:lang w:val="en-GB"/>
        </w:rPr>
        <w:t xml:space="preserve">enefits of using portfolios as </w:t>
      </w:r>
      <w:r w:rsidR="00B62EC3" w:rsidRPr="00C5268A">
        <w:rPr>
          <w:rFonts w:ascii="Arial" w:hAnsi="Arial" w:cs="Arial"/>
          <w:lang w:val="en-GB"/>
        </w:rPr>
        <w:t xml:space="preserve">a </w:t>
      </w:r>
      <w:r w:rsidRPr="00C5268A">
        <w:rPr>
          <w:rFonts w:ascii="Arial" w:hAnsi="Arial" w:cs="Arial"/>
          <w:lang w:val="en-GB"/>
        </w:rPr>
        <w:t>summative assessment</w:t>
      </w:r>
      <w:r w:rsidR="00B62EC3" w:rsidRPr="00C5268A">
        <w:rPr>
          <w:rFonts w:ascii="Arial" w:hAnsi="Arial" w:cs="Arial"/>
          <w:lang w:val="en-GB"/>
        </w:rPr>
        <w:t xml:space="preserve"> tool for</w:t>
      </w:r>
      <w:r w:rsidRPr="00C5268A">
        <w:rPr>
          <w:rFonts w:ascii="Arial" w:hAnsi="Arial" w:cs="Arial"/>
          <w:lang w:val="en-GB"/>
        </w:rPr>
        <w:t xml:space="preserve"> all undergraduate law modules. </w:t>
      </w:r>
      <w:r w:rsidR="00323687" w:rsidRPr="00C5268A">
        <w:rPr>
          <w:rFonts w:ascii="Arial" w:hAnsi="Arial" w:cs="Arial"/>
          <w:lang w:val="en-GB"/>
        </w:rPr>
        <w:t>Although this has been piloted in one module it was not a success. The main concern</w:t>
      </w:r>
      <w:r w:rsidR="00B62EC3" w:rsidRPr="00C5268A">
        <w:rPr>
          <w:rFonts w:ascii="Arial" w:hAnsi="Arial" w:cs="Arial"/>
          <w:lang w:val="en-GB"/>
        </w:rPr>
        <w:t xml:space="preserve"> this raised</w:t>
      </w:r>
      <w:r w:rsidRPr="00C5268A">
        <w:rPr>
          <w:rFonts w:ascii="Arial" w:hAnsi="Arial" w:cs="Arial"/>
          <w:lang w:val="en-GB"/>
        </w:rPr>
        <w:t xml:space="preserve"> is that unless academics undertake a process of portfolio assessment themselves they will not be equ</w:t>
      </w:r>
      <w:r w:rsidR="00B62EC3" w:rsidRPr="00C5268A">
        <w:rPr>
          <w:rFonts w:ascii="Arial" w:hAnsi="Arial" w:cs="Arial"/>
          <w:lang w:val="en-GB"/>
        </w:rPr>
        <w:t>ipped to assist students in a process of portfolio assessment.</w:t>
      </w:r>
    </w:p>
    <w:p w:rsidR="00F45736" w:rsidRPr="00C5268A" w:rsidRDefault="00F45736" w:rsidP="00C5268A">
      <w:pPr>
        <w:spacing w:after="0"/>
        <w:jc w:val="both"/>
        <w:rPr>
          <w:rFonts w:ascii="Arial" w:hAnsi="Arial" w:cs="Arial"/>
          <w:lang w:val="en-GB"/>
        </w:rPr>
      </w:pPr>
    </w:p>
    <w:p w:rsidR="005F24F0" w:rsidRPr="00F93061" w:rsidRDefault="005F24F0" w:rsidP="00C5268A">
      <w:pPr>
        <w:spacing w:after="0"/>
        <w:jc w:val="both"/>
        <w:rPr>
          <w:rFonts w:ascii="Arial" w:hAnsi="Arial" w:cs="Arial"/>
          <w:b/>
          <w:i/>
          <w:lang w:val="en-GB"/>
        </w:rPr>
      </w:pPr>
      <w:r w:rsidRPr="00F93061">
        <w:rPr>
          <w:rFonts w:ascii="Arial" w:hAnsi="Arial" w:cs="Arial"/>
          <w:b/>
          <w:i/>
          <w:lang w:val="en-GB"/>
        </w:rPr>
        <w:t>Key</w:t>
      </w:r>
      <w:r w:rsidR="00F93061" w:rsidRPr="00F93061">
        <w:rPr>
          <w:rFonts w:ascii="Arial" w:hAnsi="Arial" w:cs="Arial"/>
          <w:b/>
          <w:i/>
          <w:lang w:val="en-GB"/>
        </w:rPr>
        <w:t xml:space="preserve"> </w:t>
      </w:r>
      <w:r w:rsidRPr="00F93061">
        <w:rPr>
          <w:rFonts w:ascii="Arial" w:hAnsi="Arial" w:cs="Arial"/>
          <w:b/>
          <w:i/>
          <w:lang w:val="en-GB"/>
        </w:rPr>
        <w:t>w</w:t>
      </w:r>
      <w:r w:rsidR="00F45736" w:rsidRPr="00F93061">
        <w:rPr>
          <w:rFonts w:ascii="Arial" w:hAnsi="Arial" w:cs="Arial"/>
          <w:b/>
          <w:i/>
          <w:lang w:val="en-GB"/>
        </w:rPr>
        <w:t>ords</w:t>
      </w:r>
      <w:r w:rsidR="00F93061" w:rsidRPr="00F93061">
        <w:rPr>
          <w:rFonts w:ascii="Arial" w:hAnsi="Arial" w:cs="Arial"/>
          <w:b/>
          <w:i/>
          <w:lang w:val="en-GB"/>
        </w:rPr>
        <w:t>:</w:t>
      </w:r>
    </w:p>
    <w:p w:rsidR="00E45BE0" w:rsidRDefault="00F45736" w:rsidP="00C5268A">
      <w:pPr>
        <w:spacing w:after="0"/>
        <w:jc w:val="both"/>
        <w:rPr>
          <w:rFonts w:ascii="Arial" w:hAnsi="Arial" w:cs="Arial"/>
          <w:b/>
          <w:i/>
          <w:lang w:val="en-GB"/>
        </w:rPr>
      </w:pPr>
      <w:proofErr w:type="spellStart"/>
      <w:proofErr w:type="gramStart"/>
      <w:r w:rsidRPr="00C5268A">
        <w:rPr>
          <w:rFonts w:ascii="Arial" w:hAnsi="Arial" w:cs="Arial"/>
          <w:lang w:val="en-GB"/>
        </w:rPr>
        <w:t>Portfoilo</w:t>
      </w:r>
      <w:proofErr w:type="spellEnd"/>
      <w:r w:rsidRPr="00C5268A">
        <w:rPr>
          <w:rFonts w:ascii="Arial" w:hAnsi="Arial" w:cs="Arial"/>
          <w:lang w:val="en-GB"/>
        </w:rPr>
        <w:t>.</w:t>
      </w:r>
      <w:proofErr w:type="gramEnd"/>
      <w:r w:rsidRPr="00C5268A">
        <w:rPr>
          <w:rFonts w:ascii="Arial" w:hAnsi="Arial" w:cs="Arial"/>
          <w:lang w:val="en-GB"/>
        </w:rPr>
        <w:t xml:space="preserve"> Viabilty. Academic Teaching Rationale.</w:t>
      </w:r>
    </w:p>
    <w:p w:rsidR="00C5268A" w:rsidRPr="00C5268A" w:rsidRDefault="00C5268A" w:rsidP="00C5268A">
      <w:pPr>
        <w:spacing w:after="0"/>
        <w:jc w:val="both"/>
        <w:rPr>
          <w:rFonts w:ascii="Arial" w:hAnsi="Arial" w:cs="Arial"/>
          <w:b/>
          <w:i/>
          <w:lang w:val="en-GB"/>
        </w:rPr>
      </w:pPr>
    </w:p>
    <w:p w:rsidR="00E45BE0" w:rsidRPr="00C5268A" w:rsidRDefault="00DA07B9" w:rsidP="00C5268A">
      <w:pPr>
        <w:jc w:val="both"/>
        <w:rPr>
          <w:rFonts w:ascii="Arial" w:hAnsi="Arial" w:cs="Arial"/>
          <w:lang w:val="en-GB"/>
        </w:rPr>
      </w:pPr>
      <w:r w:rsidRPr="00C5268A">
        <w:rPr>
          <w:rFonts w:ascii="Arial" w:hAnsi="Arial" w:cs="Arial"/>
          <w:lang w:val="en-GB"/>
        </w:rPr>
        <w:t>If we are to</w:t>
      </w:r>
      <w:r w:rsidR="00E45BE0" w:rsidRPr="00C5268A">
        <w:rPr>
          <w:rFonts w:ascii="Arial" w:hAnsi="Arial" w:cs="Arial"/>
          <w:lang w:val="en-GB"/>
        </w:rPr>
        <w:t xml:space="preserve"> </w:t>
      </w:r>
      <w:r w:rsidR="006617BF" w:rsidRPr="00C5268A">
        <w:rPr>
          <w:rFonts w:ascii="Arial" w:hAnsi="Arial" w:cs="Arial"/>
          <w:lang w:val="en-GB"/>
        </w:rPr>
        <w:t>acknow</w:t>
      </w:r>
      <w:r w:rsidRPr="00C5268A">
        <w:rPr>
          <w:rFonts w:ascii="Arial" w:hAnsi="Arial" w:cs="Arial"/>
          <w:lang w:val="en-GB"/>
        </w:rPr>
        <w:t>ledge that</w:t>
      </w:r>
      <w:r w:rsidR="00E45BE0" w:rsidRPr="00C5268A">
        <w:rPr>
          <w:rFonts w:ascii="Arial" w:hAnsi="Arial" w:cs="Arial"/>
          <w:lang w:val="en-GB"/>
        </w:rPr>
        <w:t xml:space="preserve"> the ‘lib</w:t>
      </w:r>
      <w:r w:rsidR="00F45736" w:rsidRPr="00C5268A">
        <w:rPr>
          <w:rFonts w:ascii="Arial" w:hAnsi="Arial" w:cs="Arial"/>
          <w:lang w:val="en-GB"/>
        </w:rPr>
        <w:t>eral’ model for higher education (Dearing Report 1997</w:t>
      </w:r>
      <w:r w:rsidR="00E17166" w:rsidRPr="00C5268A">
        <w:rPr>
          <w:rFonts w:ascii="Arial" w:hAnsi="Arial" w:cs="Arial"/>
          <w:lang w:val="en-GB"/>
        </w:rPr>
        <w:t>)</w:t>
      </w:r>
      <w:r w:rsidRPr="00C5268A">
        <w:rPr>
          <w:rFonts w:ascii="Arial" w:hAnsi="Arial" w:cs="Arial"/>
          <w:lang w:val="en-GB"/>
        </w:rPr>
        <w:t xml:space="preserve"> has been</w:t>
      </w:r>
      <w:r w:rsidR="009D4C44" w:rsidRPr="00C5268A">
        <w:rPr>
          <w:rFonts w:ascii="Arial" w:hAnsi="Arial" w:cs="Arial"/>
          <w:lang w:val="en-GB"/>
        </w:rPr>
        <w:t xml:space="preserve"> </w:t>
      </w:r>
      <w:r w:rsidR="006D6921" w:rsidRPr="00C5268A">
        <w:rPr>
          <w:rFonts w:ascii="Arial" w:hAnsi="Arial" w:cs="Arial"/>
          <w:lang w:val="en-GB"/>
        </w:rPr>
        <w:t>replaced</w:t>
      </w:r>
      <w:r w:rsidR="00E45BE0" w:rsidRPr="00C5268A">
        <w:rPr>
          <w:rFonts w:ascii="Arial" w:hAnsi="Arial" w:cs="Arial"/>
          <w:lang w:val="en-GB"/>
        </w:rPr>
        <w:t xml:space="preserve"> with the expectation that graduates must be able to </w:t>
      </w:r>
      <w:r w:rsidR="006D6921" w:rsidRPr="00C5268A">
        <w:rPr>
          <w:rFonts w:ascii="Arial" w:hAnsi="Arial" w:cs="Arial"/>
          <w:lang w:val="en-GB"/>
        </w:rPr>
        <w:t>contribute to an increasingly competitive</w:t>
      </w:r>
      <w:r w:rsidR="005413D1" w:rsidRPr="00C5268A">
        <w:rPr>
          <w:rFonts w:ascii="Arial" w:hAnsi="Arial" w:cs="Arial"/>
          <w:lang w:val="en-GB"/>
        </w:rPr>
        <w:t xml:space="preserve"> world</w:t>
      </w:r>
      <w:r w:rsidR="005E6BE6" w:rsidRPr="00C5268A">
        <w:rPr>
          <w:rFonts w:ascii="Arial" w:hAnsi="Arial" w:cs="Arial"/>
          <w:lang w:val="en-GB"/>
        </w:rPr>
        <w:t>,</w:t>
      </w:r>
      <w:r w:rsidR="009D4C44" w:rsidRPr="00C5268A">
        <w:rPr>
          <w:rFonts w:ascii="Arial" w:hAnsi="Arial" w:cs="Arial"/>
          <w:lang w:val="en-GB"/>
        </w:rPr>
        <w:t xml:space="preserve"> u</w:t>
      </w:r>
      <w:r w:rsidR="006B76A0" w:rsidRPr="00C5268A">
        <w:rPr>
          <w:rFonts w:ascii="Arial" w:hAnsi="Arial" w:cs="Arial"/>
          <w:lang w:val="en-GB"/>
        </w:rPr>
        <w:t>niversities are</w:t>
      </w:r>
      <w:r w:rsidR="005413D1" w:rsidRPr="00C5268A">
        <w:rPr>
          <w:rFonts w:ascii="Arial" w:hAnsi="Arial" w:cs="Arial"/>
          <w:lang w:val="en-GB"/>
        </w:rPr>
        <w:t xml:space="preserve"> going to need</w:t>
      </w:r>
      <w:r w:rsidR="00E45BE0" w:rsidRPr="00C5268A">
        <w:rPr>
          <w:rFonts w:ascii="Arial" w:hAnsi="Arial" w:cs="Arial"/>
          <w:lang w:val="en-GB"/>
        </w:rPr>
        <w:t xml:space="preserve"> to ‘shape’ as well as ‘react’ to</w:t>
      </w:r>
      <w:r w:rsidR="005413D1" w:rsidRPr="00C5268A">
        <w:rPr>
          <w:rFonts w:ascii="Arial" w:hAnsi="Arial" w:cs="Arial"/>
          <w:lang w:val="en-GB"/>
        </w:rPr>
        <w:t xml:space="preserve"> what it is</w:t>
      </w:r>
      <w:r w:rsidR="00E45BE0" w:rsidRPr="00C5268A">
        <w:rPr>
          <w:rFonts w:ascii="Arial" w:hAnsi="Arial" w:cs="Arial"/>
          <w:lang w:val="en-GB"/>
        </w:rPr>
        <w:t xml:space="preserve"> individual </w:t>
      </w:r>
      <w:r w:rsidR="006D6921" w:rsidRPr="00C5268A">
        <w:rPr>
          <w:rFonts w:ascii="Arial" w:hAnsi="Arial" w:cs="Arial"/>
          <w:lang w:val="en-GB"/>
        </w:rPr>
        <w:t>student</w:t>
      </w:r>
      <w:r w:rsidR="00C16E1B" w:rsidRPr="00C5268A">
        <w:rPr>
          <w:rFonts w:ascii="Arial" w:hAnsi="Arial" w:cs="Arial"/>
          <w:lang w:val="en-GB"/>
        </w:rPr>
        <w:t>s</w:t>
      </w:r>
      <w:r w:rsidR="00033021" w:rsidRPr="00C5268A">
        <w:rPr>
          <w:rFonts w:ascii="Arial" w:hAnsi="Arial" w:cs="Arial"/>
          <w:lang w:val="en-GB"/>
        </w:rPr>
        <w:t xml:space="preserve"> need</w:t>
      </w:r>
      <w:r w:rsidR="00EB1878" w:rsidRPr="00C5268A">
        <w:rPr>
          <w:rFonts w:ascii="Arial" w:hAnsi="Arial" w:cs="Arial"/>
          <w:lang w:val="en-GB"/>
        </w:rPr>
        <w:t xml:space="preserve"> in an effort to </w:t>
      </w:r>
      <w:r w:rsidR="006617BF" w:rsidRPr="00C5268A">
        <w:rPr>
          <w:rFonts w:ascii="Arial" w:hAnsi="Arial" w:cs="Arial"/>
          <w:lang w:val="en-GB"/>
        </w:rPr>
        <w:t>optimise</w:t>
      </w:r>
      <w:r w:rsidR="005413D1" w:rsidRPr="00C5268A">
        <w:rPr>
          <w:rFonts w:ascii="Arial" w:hAnsi="Arial" w:cs="Arial"/>
          <w:lang w:val="en-GB"/>
        </w:rPr>
        <w:t xml:space="preserve"> </w:t>
      </w:r>
      <w:r w:rsidR="00640E0D" w:rsidRPr="00C5268A">
        <w:rPr>
          <w:rFonts w:ascii="Arial" w:hAnsi="Arial" w:cs="Arial"/>
          <w:lang w:val="en-GB"/>
        </w:rPr>
        <w:t xml:space="preserve">the </w:t>
      </w:r>
      <w:r w:rsidR="005413D1" w:rsidRPr="00C5268A">
        <w:rPr>
          <w:rFonts w:ascii="Arial" w:hAnsi="Arial" w:cs="Arial"/>
          <w:lang w:val="en-GB"/>
        </w:rPr>
        <w:t xml:space="preserve">successful </w:t>
      </w:r>
      <w:r w:rsidR="009A5317" w:rsidRPr="00C5268A">
        <w:rPr>
          <w:rFonts w:ascii="Arial" w:hAnsi="Arial" w:cs="Arial"/>
          <w:lang w:val="en-GB"/>
        </w:rPr>
        <w:t>survival</w:t>
      </w:r>
      <w:r w:rsidR="006617BF" w:rsidRPr="00C5268A">
        <w:rPr>
          <w:rFonts w:ascii="Arial" w:hAnsi="Arial" w:cs="Arial"/>
          <w:lang w:val="en-GB"/>
        </w:rPr>
        <w:t xml:space="preserve"> of</w:t>
      </w:r>
      <w:r w:rsidRPr="00C5268A">
        <w:rPr>
          <w:rFonts w:ascii="Arial" w:hAnsi="Arial" w:cs="Arial"/>
          <w:lang w:val="en-GB"/>
        </w:rPr>
        <w:t xml:space="preserve"> our</w:t>
      </w:r>
      <w:r w:rsidR="005E6BE6" w:rsidRPr="00C5268A">
        <w:rPr>
          <w:rFonts w:ascii="Arial" w:hAnsi="Arial" w:cs="Arial"/>
          <w:lang w:val="en-GB"/>
        </w:rPr>
        <w:t xml:space="preserve"> students</w:t>
      </w:r>
      <w:r w:rsidR="00640E0D" w:rsidRPr="00C5268A">
        <w:rPr>
          <w:rFonts w:ascii="Arial" w:hAnsi="Arial" w:cs="Arial"/>
          <w:lang w:val="en-GB"/>
        </w:rPr>
        <w:t xml:space="preserve"> once they leave university</w:t>
      </w:r>
      <w:r w:rsidR="005E6BE6" w:rsidRPr="00C5268A">
        <w:rPr>
          <w:rFonts w:ascii="Arial" w:hAnsi="Arial" w:cs="Arial"/>
          <w:lang w:val="en-GB"/>
        </w:rPr>
        <w:t xml:space="preserve">.  </w:t>
      </w:r>
      <w:r w:rsidR="00E17166" w:rsidRPr="00C5268A">
        <w:rPr>
          <w:rFonts w:ascii="Arial" w:hAnsi="Arial" w:cs="Arial"/>
          <w:lang w:val="en-GB"/>
        </w:rPr>
        <w:t>As</w:t>
      </w:r>
      <w:r w:rsidR="009D4C44" w:rsidRPr="00C5268A">
        <w:rPr>
          <w:rFonts w:ascii="Arial" w:hAnsi="Arial" w:cs="Arial"/>
          <w:lang w:val="en-GB"/>
        </w:rPr>
        <w:t xml:space="preserve"> outcome-based learni</w:t>
      </w:r>
      <w:r w:rsidR="006B76A0" w:rsidRPr="00C5268A">
        <w:rPr>
          <w:rFonts w:ascii="Arial" w:hAnsi="Arial" w:cs="Arial"/>
          <w:lang w:val="en-GB"/>
        </w:rPr>
        <w:t>ng is the pointer</w:t>
      </w:r>
      <w:r w:rsidR="00E17166" w:rsidRPr="00C5268A">
        <w:rPr>
          <w:rFonts w:ascii="Arial" w:hAnsi="Arial" w:cs="Arial"/>
          <w:lang w:val="en-GB"/>
        </w:rPr>
        <w:t xml:space="preserve"> for </w:t>
      </w:r>
      <w:r w:rsidR="006C12D4" w:rsidRPr="00C5268A">
        <w:rPr>
          <w:rFonts w:ascii="Arial" w:hAnsi="Arial" w:cs="Arial"/>
          <w:lang w:val="en-GB"/>
        </w:rPr>
        <w:t>how successful institutions are at meeting these goals,</w:t>
      </w:r>
      <w:r w:rsidR="00E17166" w:rsidRPr="00C5268A">
        <w:rPr>
          <w:rFonts w:ascii="Arial" w:hAnsi="Arial" w:cs="Arial"/>
          <w:lang w:val="en-GB"/>
        </w:rPr>
        <w:t xml:space="preserve"> mo</w:t>
      </w:r>
      <w:r w:rsidR="00EB1878" w:rsidRPr="00C5268A">
        <w:rPr>
          <w:rFonts w:ascii="Arial" w:hAnsi="Arial" w:cs="Arial"/>
          <w:lang w:val="en-GB"/>
        </w:rPr>
        <w:t xml:space="preserve">re will be expected from academics </w:t>
      </w:r>
      <w:r w:rsidR="00E17166" w:rsidRPr="00C5268A">
        <w:rPr>
          <w:rFonts w:ascii="Arial" w:hAnsi="Arial" w:cs="Arial"/>
          <w:lang w:val="en-GB"/>
        </w:rPr>
        <w:t>in terms of ‘how’ they shape the goal</w:t>
      </w:r>
      <w:r w:rsidR="005E6BE6" w:rsidRPr="00C5268A">
        <w:rPr>
          <w:rFonts w:ascii="Arial" w:hAnsi="Arial" w:cs="Arial"/>
          <w:lang w:val="en-GB"/>
        </w:rPr>
        <w:t>s students are required to meet. G</w:t>
      </w:r>
      <w:r w:rsidR="006C12D4" w:rsidRPr="00C5268A">
        <w:rPr>
          <w:rFonts w:ascii="Arial" w:hAnsi="Arial" w:cs="Arial"/>
          <w:lang w:val="en-GB"/>
        </w:rPr>
        <w:t xml:space="preserve">overnments </w:t>
      </w:r>
      <w:r w:rsidR="005E6BE6" w:rsidRPr="00C5268A">
        <w:rPr>
          <w:rFonts w:ascii="Arial" w:hAnsi="Arial" w:cs="Arial"/>
          <w:lang w:val="en-GB"/>
        </w:rPr>
        <w:t>are requiring</w:t>
      </w:r>
      <w:r w:rsidR="006C12D4" w:rsidRPr="00C5268A">
        <w:rPr>
          <w:rFonts w:ascii="Arial" w:hAnsi="Arial" w:cs="Arial"/>
          <w:lang w:val="en-GB"/>
        </w:rPr>
        <w:t xml:space="preserve"> universities to justify t</w:t>
      </w:r>
      <w:r w:rsidR="005E6BE6" w:rsidRPr="00C5268A">
        <w:rPr>
          <w:rFonts w:ascii="Arial" w:hAnsi="Arial" w:cs="Arial"/>
          <w:lang w:val="en-GB"/>
        </w:rPr>
        <w:t>heir practice as never before. As a consequence, t</w:t>
      </w:r>
      <w:r w:rsidR="006C12D4" w:rsidRPr="00C5268A">
        <w:rPr>
          <w:rFonts w:ascii="Arial" w:hAnsi="Arial" w:cs="Arial"/>
          <w:lang w:val="en-GB"/>
        </w:rPr>
        <w:t>eaching students to be enquiring in their approach to learning “is not just a throwback to enlightenment or liberalism but central to the hard-nosed skills required for the futu</w:t>
      </w:r>
      <w:r w:rsidR="00640E0D" w:rsidRPr="00C5268A">
        <w:rPr>
          <w:rFonts w:ascii="Arial" w:hAnsi="Arial" w:cs="Arial"/>
          <w:lang w:val="en-GB"/>
        </w:rPr>
        <w:t>re graduate workforce” (Jenkins Healey Zetter 2007: 5</w:t>
      </w:r>
      <w:r w:rsidR="006C12D4" w:rsidRPr="00C5268A">
        <w:rPr>
          <w:rFonts w:ascii="Arial" w:hAnsi="Arial" w:cs="Arial"/>
          <w:lang w:val="en-GB"/>
        </w:rPr>
        <w:t>)</w:t>
      </w:r>
      <w:r w:rsidR="00640E0D" w:rsidRPr="00C5268A">
        <w:rPr>
          <w:rFonts w:ascii="Arial" w:hAnsi="Arial" w:cs="Arial"/>
          <w:lang w:val="en-GB"/>
        </w:rPr>
        <w:t>.</w:t>
      </w:r>
      <w:r w:rsidR="00EB0C68" w:rsidRPr="00C5268A">
        <w:rPr>
          <w:rFonts w:ascii="Arial" w:hAnsi="Arial" w:cs="Arial"/>
          <w:lang w:val="en-GB"/>
        </w:rPr>
        <w:t xml:space="preserve"> More th</w:t>
      </w:r>
      <w:r w:rsidR="00033021" w:rsidRPr="00C5268A">
        <w:rPr>
          <w:rFonts w:ascii="Arial" w:hAnsi="Arial" w:cs="Arial"/>
          <w:lang w:val="en-GB"/>
        </w:rPr>
        <w:t xml:space="preserve">an ever, educators need to make higher </w:t>
      </w:r>
      <w:r w:rsidR="00EB0C68" w:rsidRPr="00C5268A">
        <w:rPr>
          <w:rFonts w:ascii="Arial" w:hAnsi="Arial" w:cs="Arial"/>
          <w:lang w:val="en-GB"/>
        </w:rPr>
        <w:t xml:space="preserve">education </w:t>
      </w:r>
      <w:r w:rsidR="006D6921" w:rsidRPr="00C5268A">
        <w:rPr>
          <w:rFonts w:ascii="Arial" w:hAnsi="Arial" w:cs="Arial"/>
          <w:lang w:val="en-GB"/>
        </w:rPr>
        <w:t>meaningfu</w:t>
      </w:r>
      <w:r w:rsidR="00033021" w:rsidRPr="00C5268A">
        <w:rPr>
          <w:rFonts w:ascii="Arial" w:hAnsi="Arial" w:cs="Arial"/>
          <w:lang w:val="en-GB"/>
        </w:rPr>
        <w:t>l to</w:t>
      </w:r>
      <w:r w:rsidR="00EB0C68" w:rsidRPr="00C5268A">
        <w:rPr>
          <w:rFonts w:ascii="Arial" w:hAnsi="Arial" w:cs="Arial"/>
          <w:lang w:val="en-GB"/>
        </w:rPr>
        <w:t xml:space="preserve"> assist </w:t>
      </w:r>
      <w:r w:rsidR="00680A31" w:rsidRPr="00C5268A">
        <w:rPr>
          <w:rFonts w:ascii="Arial" w:hAnsi="Arial" w:cs="Arial"/>
          <w:lang w:val="en-GB"/>
        </w:rPr>
        <w:t xml:space="preserve">in </w:t>
      </w:r>
      <w:r w:rsidR="00EB0C68" w:rsidRPr="00C5268A">
        <w:rPr>
          <w:rFonts w:ascii="Arial" w:hAnsi="Arial" w:cs="Arial"/>
          <w:lang w:val="en-GB"/>
        </w:rPr>
        <w:t>the transformation of how students think</w:t>
      </w:r>
      <w:r w:rsidR="006D6921" w:rsidRPr="00C5268A">
        <w:rPr>
          <w:rFonts w:ascii="Arial" w:hAnsi="Arial" w:cs="Arial"/>
          <w:lang w:val="en-GB"/>
        </w:rPr>
        <w:t xml:space="preserve"> </w:t>
      </w:r>
      <w:r w:rsidR="00680A31" w:rsidRPr="00C5268A">
        <w:rPr>
          <w:rFonts w:ascii="Arial" w:hAnsi="Arial" w:cs="Arial"/>
          <w:lang w:val="en-GB"/>
        </w:rPr>
        <w:t>“</w:t>
      </w:r>
      <w:r w:rsidR="006D6921" w:rsidRPr="00C5268A">
        <w:rPr>
          <w:rFonts w:ascii="Arial" w:hAnsi="Arial" w:cs="Arial"/>
          <w:lang w:val="en-GB"/>
        </w:rPr>
        <w:t>by</w:t>
      </w:r>
      <w:r w:rsidR="009A5317" w:rsidRPr="00C5268A">
        <w:rPr>
          <w:rFonts w:ascii="Arial" w:hAnsi="Arial" w:cs="Arial"/>
          <w:lang w:val="en-GB"/>
        </w:rPr>
        <w:t xml:space="preserve"> promoting the </w:t>
      </w:r>
      <w:r w:rsidR="00680A31" w:rsidRPr="00C5268A">
        <w:rPr>
          <w:rFonts w:ascii="Arial" w:hAnsi="Arial" w:cs="Arial"/>
          <w:lang w:val="en-GB"/>
        </w:rPr>
        <w:t>progression from novice to expert in both attitudes and approach</w:t>
      </w:r>
      <w:r w:rsidR="00640E0D" w:rsidRPr="00C5268A">
        <w:rPr>
          <w:rFonts w:ascii="Arial" w:hAnsi="Arial" w:cs="Arial"/>
          <w:lang w:val="en-GB"/>
        </w:rPr>
        <w:t>es to the discipline” (Weiman 2007: 5).</w:t>
      </w:r>
      <w:r w:rsidR="00033021" w:rsidRPr="00C5268A">
        <w:rPr>
          <w:rFonts w:ascii="Arial" w:hAnsi="Arial" w:cs="Arial"/>
          <w:lang w:val="en-GB"/>
        </w:rPr>
        <w:t xml:space="preserve"> If we are to contend that students no-longer need ‘pre-defined’ bodies of knowledge but the skills of ‘how’ to find out for themselves curriculum design needs to enable students to maximise this opportunity.</w:t>
      </w:r>
    </w:p>
    <w:p w:rsidR="008D233D" w:rsidRPr="00C5268A" w:rsidRDefault="00C16E1B" w:rsidP="00C5268A">
      <w:pPr>
        <w:jc w:val="both"/>
        <w:rPr>
          <w:rFonts w:ascii="Arial" w:hAnsi="Arial" w:cs="Arial"/>
          <w:lang w:val="en-GB"/>
        </w:rPr>
      </w:pPr>
      <w:r w:rsidRPr="00C5268A">
        <w:rPr>
          <w:rFonts w:ascii="Arial" w:hAnsi="Arial" w:cs="Arial"/>
          <w:lang w:val="en-GB"/>
        </w:rPr>
        <w:t>Biggs observes</w:t>
      </w:r>
      <w:r w:rsidR="008D233D" w:rsidRPr="00C5268A">
        <w:rPr>
          <w:rFonts w:ascii="Arial" w:hAnsi="Arial" w:cs="Arial"/>
          <w:lang w:val="en-GB"/>
        </w:rPr>
        <w:t xml:space="preserve"> that</w:t>
      </w:r>
      <w:r w:rsidRPr="00C5268A">
        <w:rPr>
          <w:rFonts w:ascii="Arial" w:hAnsi="Arial" w:cs="Arial"/>
          <w:lang w:val="en-GB"/>
        </w:rPr>
        <w:t xml:space="preserve"> “knowledge should not only be gained in order to tell others about it. Students must be able to put knowledge</w:t>
      </w:r>
      <w:r w:rsidR="0071219D" w:rsidRPr="00C5268A">
        <w:rPr>
          <w:rFonts w:ascii="Arial" w:hAnsi="Arial" w:cs="Arial"/>
          <w:lang w:val="en-GB"/>
        </w:rPr>
        <w:t xml:space="preserve"> to work, to make it function …as i</w:t>
      </w:r>
      <w:r w:rsidRPr="00C5268A">
        <w:rPr>
          <w:rFonts w:ascii="Arial" w:hAnsi="Arial" w:cs="Arial"/>
          <w:lang w:val="en-GB"/>
        </w:rPr>
        <w:t>t is the understanding</w:t>
      </w:r>
      <w:r w:rsidR="009D4C44" w:rsidRPr="00C5268A">
        <w:rPr>
          <w:rFonts w:ascii="Arial" w:hAnsi="Arial" w:cs="Arial"/>
          <w:lang w:val="en-GB"/>
        </w:rPr>
        <w:t xml:space="preserve"> of this knowledge</w:t>
      </w:r>
      <w:r w:rsidRPr="00C5268A">
        <w:rPr>
          <w:rFonts w:ascii="Arial" w:hAnsi="Arial" w:cs="Arial"/>
          <w:lang w:val="en-GB"/>
        </w:rPr>
        <w:t xml:space="preserve"> </w:t>
      </w:r>
      <w:r w:rsidR="008D233D" w:rsidRPr="00C5268A">
        <w:rPr>
          <w:rFonts w:ascii="Arial" w:hAnsi="Arial" w:cs="Arial"/>
          <w:lang w:val="en-GB"/>
        </w:rPr>
        <w:t>which</w:t>
      </w:r>
      <w:r w:rsidRPr="00C5268A">
        <w:rPr>
          <w:rFonts w:ascii="Arial" w:hAnsi="Arial" w:cs="Arial"/>
          <w:lang w:val="en-GB"/>
        </w:rPr>
        <w:t xml:space="preserve"> makes us see and beha</w:t>
      </w:r>
      <w:r w:rsidR="009D4C44" w:rsidRPr="00C5268A">
        <w:rPr>
          <w:rFonts w:ascii="Arial" w:hAnsi="Arial" w:cs="Arial"/>
          <w:lang w:val="en-GB"/>
        </w:rPr>
        <w:t>ve differently to the world”. This is</w:t>
      </w:r>
      <w:r w:rsidR="008D233D" w:rsidRPr="00C5268A">
        <w:rPr>
          <w:rFonts w:ascii="Arial" w:hAnsi="Arial" w:cs="Arial"/>
          <w:lang w:val="en-GB"/>
        </w:rPr>
        <w:t xml:space="preserve"> t</w:t>
      </w:r>
      <w:r w:rsidRPr="00C5268A">
        <w:rPr>
          <w:rFonts w:ascii="Arial" w:hAnsi="Arial" w:cs="Arial"/>
          <w:lang w:val="en-GB"/>
        </w:rPr>
        <w:t>he process of turning declaratory into functioning knowledge</w:t>
      </w:r>
      <w:r w:rsidR="00B22D42" w:rsidRPr="00C5268A">
        <w:rPr>
          <w:rFonts w:ascii="Arial" w:hAnsi="Arial" w:cs="Arial"/>
          <w:lang w:val="en-GB"/>
        </w:rPr>
        <w:t xml:space="preserve">. </w:t>
      </w:r>
      <w:r w:rsidR="008D233D" w:rsidRPr="00C5268A">
        <w:rPr>
          <w:rFonts w:ascii="Arial" w:hAnsi="Arial" w:cs="Arial"/>
          <w:lang w:val="en-GB"/>
        </w:rPr>
        <w:t xml:space="preserve"> </w:t>
      </w:r>
      <w:r w:rsidR="009A5317" w:rsidRPr="00C5268A">
        <w:rPr>
          <w:rFonts w:ascii="Arial" w:hAnsi="Arial" w:cs="Arial"/>
          <w:lang w:val="en-GB"/>
        </w:rPr>
        <w:t>Present methods of assessment (exams, phase tests and essay writing) encourage students only to display a ‘declarative’ know</w:t>
      </w:r>
      <w:r w:rsidR="00640E0D" w:rsidRPr="00C5268A">
        <w:rPr>
          <w:rFonts w:ascii="Arial" w:hAnsi="Arial" w:cs="Arial"/>
          <w:lang w:val="en-GB"/>
        </w:rPr>
        <w:t>ledge of subject material (Biggs and Tang</w:t>
      </w:r>
      <w:r w:rsidR="009A5317" w:rsidRPr="00C5268A">
        <w:rPr>
          <w:rFonts w:ascii="Arial" w:hAnsi="Arial" w:cs="Arial"/>
          <w:lang w:val="en-GB"/>
        </w:rPr>
        <w:t xml:space="preserve"> 2007)</w:t>
      </w:r>
      <w:r w:rsidR="009D4C44" w:rsidRPr="00C5268A">
        <w:rPr>
          <w:rFonts w:ascii="Arial" w:hAnsi="Arial" w:cs="Arial"/>
          <w:lang w:val="en-GB"/>
        </w:rPr>
        <w:t>.</w:t>
      </w:r>
      <w:r w:rsidR="009A5317" w:rsidRPr="00C5268A">
        <w:rPr>
          <w:rFonts w:ascii="Arial" w:hAnsi="Arial" w:cs="Arial"/>
          <w:lang w:val="en-GB"/>
        </w:rPr>
        <w:t xml:space="preserve"> Unless students are engaged </w:t>
      </w:r>
      <w:r w:rsidR="00AF0434" w:rsidRPr="00C5268A">
        <w:rPr>
          <w:rFonts w:ascii="Arial" w:hAnsi="Arial" w:cs="Arial"/>
          <w:lang w:val="en-GB"/>
        </w:rPr>
        <w:t xml:space="preserve">in </w:t>
      </w:r>
      <w:r w:rsidR="00B36491" w:rsidRPr="00C5268A">
        <w:rPr>
          <w:rFonts w:ascii="Arial" w:hAnsi="Arial" w:cs="Arial"/>
          <w:lang w:val="en-GB"/>
        </w:rPr>
        <w:t xml:space="preserve">an </w:t>
      </w:r>
      <w:r w:rsidR="00AF0434" w:rsidRPr="00C5268A">
        <w:rPr>
          <w:rFonts w:ascii="Arial" w:hAnsi="Arial" w:cs="Arial"/>
          <w:lang w:val="en-GB"/>
        </w:rPr>
        <w:t>assessment</w:t>
      </w:r>
      <w:r w:rsidR="00B36491" w:rsidRPr="00C5268A">
        <w:rPr>
          <w:rFonts w:ascii="Arial" w:hAnsi="Arial" w:cs="Arial"/>
          <w:lang w:val="en-GB"/>
        </w:rPr>
        <w:t xml:space="preserve"> process</w:t>
      </w:r>
      <w:r w:rsidR="00AF0434" w:rsidRPr="00C5268A">
        <w:rPr>
          <w:rFonts w:ascii="Arial" w:hAnsi="Arial" w:cs="Arial"/>
          <w:lang w:val="en-GB"/>
        </w:rPr>
        <w:t xml:space="preserve"> which teaches them how to f</w:t>
      </w:r>
      <w:r w:rsidR="00B36491" w:rsidRPr="00C5268A">
        <w:rPr>
          <w:rFonts w:ascii="Arial" w:hAnsi="Arial" w:cs="Arial"/>
          <w:lang w:val="en-GB"/>
        </w:rPr>
        <w:t>ind out for themselves,</w:t>
      </w:r>
      <w:r w:rsidR="00AF0434" w:rsidRPr="00C5268A">
        <w:rPr>
          <w:rFonts w:ascii="Arial" w:hAnsi="Arial" w:cs="Arial"/>
          <w:lang w:val="en-GB"/>
        </w:rPr>
        <w:t xml:space="preserve"> to </w:t>
      </w:r>
      <w:r w:rsidR="00B36491" w:rsidRPr="00C5268A">
        <w:rPr>
          <w:rFonts w:ascii="Arial" w:hAnsi="Arial" w:cs="Arial"/>
          <w:lang w:val="en-GB"/>
        </w:rPr>
        <w:t xml:space="preserve">enable them to </w:t>
      </w:r>
      <w:r w:rsidR="00AF0434" w:rsidRPr="00C5268A">
        <w:rPr>
          <w:rFonts w:ascii="Arial" w:hAnsi="Arial" w:cs="Arial"/>
          <w:lang w:val="en-GB"/>
        </w:rPr>
        <w:t>construct their own meaning through relevant lear</w:t>
      </w:r>
      <w:r w:rsidR="00511BB3" w:rsidRPr="00C5268A">
        <w:rPr>
          <w:rFonts w:ascii="Arial" w:hAnsi="Arial" w:cs="Arial"/>
          <w:lang w:val="en-GB"/>
        </w:rPr>
        <w:t>ning activities</w:t>
      </w:r>
      <w:r w:rsidR="00AF0434" w:rsidRPr="00C5268A">
        <w:rPr>
          <w:rFonts w:ascii="Arial" w:hAnsi="Arial" w:cs="Arial"/>
          <w:lang w:val="en-GB"/>
        </w:rPr>
        <w:t xml:space="preserve"> to</w:t>
      </w:r>
      <w:r w:rsidR="00511BB3" w:rsidRPr="00C5268A">
        <w:rPr>
          <w:rFonts w:ascii="Arial" w:hAnsi="Arial" w:cs="Arial"/>
          <w:lang w:val="en-GB"/>
        </w:rPr>
        <w:t xml:space="preserve"> dev</w:t>
      </w:r>
      <w:r w:rsidR="00640E0D" w:rsidRPr="00C5268A">
        <w:rPr>
          <w:rFonts w:ascii="Arial" w:hAnsi="Arial" w:cs="Arial"/>
          <w:lang w:val="en-GB"/>
        </w:rPr>
        <w:t>elop this functioning knowledge (Biggs and Tang</w:t>
      </w:r>
      <w:r w:rsidR="00AF0434" w:rsidRPr="00C5268A">
        <w:rPr>
          <w:rFonts w:ascii="Arial" w:hAnsi="Arial" w:cs="Arial"/>
          <w:lang w:val="en-GB"/>
        </w:rPr>
        <w:t xml:space="preserve"> 2007) education is less likely to be meaningful as we have not transformed ‘how’</w:t>
      </w:r>
      <w:r w:rsidR="009D4C44" w:rsidRPr="00C5268A">
        <w:rPr>
          <w:rFonts w:ascii="Arial" w:hAnsi="Arial" w:cs="Arial"/>
          <w:lang w:val="en-GB"/>
        </w:rPr>
        <w:t xml:space="preserve"> </w:t>
      </w:r>
      <w:r w:rsidR="00511BB3" w:rsidRPr="00C5268A">
        <w:rPr>
          <w:rFonts w:ascii="Arial" w:hAnsi="Arial" w:cs="Arial"/>
          <w:lang w:val="en-GB"/>
        </w:rPr>
        <w:t xml:space="preserve">our </w:t>
      </w:r>
      <w:r w:rsidR="009D4C44" w:rsidRPr="00C5268A">
        <w:rPr>
          <w:rFonts w:ascii="Arial" w:hAnsi="Arial" w:cs="Arial"/>
          <w:lang w:val="en-GB"/>
        </w:rPr>
        <w:t xml:space="preserve">students think </w:t>
      </w:r>
      <w:r w:rsidR="00511BB3" w:rsidRPr="00C5268A">
        <w:rPr>
          <w:rFonts w:ascii="Arial" w:hAnsi="Arial" w:cs="Arial"/>
          <w:lang w:val="en-GB"/>
        </w:rPr>
        <w:t xml:space="preserve"> about the subject</w:t>
      </w:r>
      <w:r w:rsidR="00640E0D" w:rsidRPr="00C5268A">
        <w:rPr>
          <w:rFonts w:ascii="Arial" w:hAnsi="Arial" w:cs="Arial"/>
          <w:lang w:val="en-GB"/>
        </w:rPr>
        <w:t xml:space="preserve"> (Weiman</w:t>
      </w:r>
      <w:r w:rsidR="009D4C44" w:rsidRPr="00C5268A">
        <w:rPr>
          <w:rFonts w:ascii="Arial" w:hAnsi="Arial" w:cs="Arial"/>
          <w:lang w:val="en-GB"/>
        </w:rPr>
        <w:t xml:space="preserve"> 2007)</w:t>
      </w:r>
      <w:r w:rsidR="00511BB3" w:rsidRPr="00C5268A">
        <w:rPr>
          <w:rFonts w:ascii="Arial" w:hAnsi="Arial" w:cs="Arial"/>
          <w:lang w:val="en-GB"/>
        </w:rPr>
        <w:t>.</w:t>
      </w:r>
    </w:p>
    <w:p w:rsidR="00C16E1B" w:rsidRPr="00C5268A" w:rsidRDefault="00B36491" w:rsidP="00C5268A">
      <w:pPr>
        <w:jc w:val="both"/>
        <w:rPr>
          <w:rFonts w:ascii="Arial" w:hAnsi="Arial" w:cs="Arial"/>
          <w:lang w:val="en-GB"/>
        </w:rPr>
      </w:pPr>
      <w:r w:rsidRPr="00C5268A">
        <w:rPr>
          <w:rFonts w:ascii="Arial" w:hAnsi="Arial" w:cs="Arial"/>
          <w:lang w:val="en-GB"/>
        </w:rPr>
        <w:t>Portfolio assessment gives us the opportunity to successfully</w:t>
      </w:r>
      <w:r w:rsidR="00511BB3" w:rsidRPr="00C5268A">
        <w:rPr>
          <w:rFonts w:ascii="Arial" w:hAnsi="Arial" w:cs="Arial"/>
          <w:lang w:val="en-GB"/>
        </w:rPr>
        <w:t xml:space="preserve"> pr</w:t>
      </w:r>
      <w:r w:rsidRPr="00C5268A">
        <w:rPr>
          <w:rFonts w:ascii="Arial" w:hAnsi="Arial" w:cs="Arial"/>
          <w:lang w:val="en-GB"/>
        </w:rPr>
        <w:t>epare</w:t>
      </w:r>
      <w:r w:rsidR="004203DB" w:rsidRPr="00C5268A">
        <w:rPr>
          <w:rFonts w:ascii="Arial" w:hAnsi="Arial" w:cs="Arial"/>
          <w:lang w:val="en-GB"/>
        </w:rPr>
        <w:t xml:space="preserve"> </w:t>
      </w:r>
      <w:r w:rsidRPr="00C5268A">
        <w:rPr>
          <w:rFonts w:ascii="Arial" w:hAnsi="Arial" w:cs="Arial"/>
          <w:lang w:val="en-GB"/>
        </w:rPr>
        <w:t xml:space="preserve">students for employability as during the assessment </w:t>
      </w:r>
      <w:r w:rsidR="005413D1" w:rsidRPr="00C5268A">
        <w:rPr>
          <w:rFonts w:ascii="Arial" w:hAnsi="Arial" w:cs="Arial"/>
          <w:lang w:val="en-GB"/>
        </w:rPr>
        <w:t>process students</w:t>
      </w:r>
      <w:r w:rsidRPr="00C5268A">
        <w:rPr>
          <w:rFonts w:ascii="Arial" w:hAnsi="Arial" w:cs="Arial"/>
          <w:lang w:val="en-GB"/>
        </w:rPr>
        <w:t xml:space="preserve"> evidence and</w:t>
      </w:r>
      <w:r w:rsidR="00511BB3" w:rsidRPr="00C5268A">
        <w:rPr>
          <w:rFonts w:ascii="Arial" w:hAnsi="Arial" w:cs="Arial"/>
          <w:lang w:val="en-GB"/>
        </w:rPr>
        <w:t xml:space="preserve"> demonstrate how they have been taught to think</w:t>
      </w:r>
      <w:r w:rsidRPr="00C5268A">
        <w:rPr>
          <w:rFonts w:ascii="Arial" w:hAnsi="Arial" w:cs="Arial"/>
          <w:lang w:val="en-GB"/>
        </w:rPr>
        <w:t>. P</w:t>
      </w:r>
      <w:r w:rsidR="004203DB" w:rsidRPr="00C5268A">
        <w:rPr>
          <w:rFonts w:ascii="Arial" w:hAnsi="Arial" w:cs="Arial"/>
          <w:lang w:val="en-GB"/>
        </w:rPr>
        <w:t>ortfolio</w:t>
      </w:r>
      <w:r w:rsidR="00511BB3" w:rsidRPr="00C5268A">
        <w:rPr>
          <w:rFonts w:ascii="Arial" w:hAnsi="Arial" w:cs="Arial"/>
          <w:lang w:val="en-GB"/>
        </w:rPr>
        <w:t xml:space="preserve"> assessmen</w:t>
      </w:r>
      <w:r w:rsidRPr="00C5268A">
        <w:rPr>
          <w:rFonts w:ascii="Arial" w:hAnsi="Arial" w:cs="Arial"/>
          <w:lang w:val="en-GB"/>
        </w:rPr>
        <w:t>t</w:t>
      </w:r>
      <w:r w:rsidR="0051581D" w:rsidRPr="00C5268A">
        <w:rPr>
          <w:rFonts w:ascii="Arial" w:hAnsi="Arial" w:cs="Arial"/>
          <w:lang w:val="en-GB"/>
        </w:rPr>
        <w:t xml:space="preserve"> give</w:t>
      </w:r>
      <w:r w:rsidRPr="00C5268A">
        <w:rPr>
          <w:rFonts w:ascii="Arial" w:hAnsi="Arial" w:cs="Arial"/>
          <w:lang w:val="en-GB"/>
        </w:rPr>
        <w:t xml:space="preserve">s tutors </w:t>
      </w:r>
      <w:r w:rsidR="004203DB" w:rsidRPr="00C5268A">
        <w:rPr>
          <w:rFonts w:ascii="Arial" w:hAnsi="Arial" w:cs="Arial"/>
          <w:lang w:val="en-GB"/>
        </w:rPr>
        <w:t>the opportunity to give students</w:t>
      </w:r>
      <w:r w:rsidR="00511BB3" w:rsidRPr="00C5268A">
        <w:rPr>
          <w:rFonts w:ascii="Arial" w:hAnsi="Arial" w:cs="Arial"/>
          <w:lang w:val="en-GB"/>
        </w:rPr>
        <w:t xml:space="preserve"> explicit rationale for the </w:t>
      </w:r>
      <w:r w:rsidR="00511BB3" w:rsidRPr="00C5268A">
        <w:rPr>
          <w:rFonts w:ascii="Arial" w:hAnsi="Arial" w:cs="Arial"/>
          <w:lang w:val="en-GB"/>
        </w:rPr>
        <w:lastRenderedPageBreak/>
        <w:t>purpose of the</w:t>
      </w:r>
      <w:r w:rsidR="002A3DD6" w:rsidRPr="00C5268A">
        <w:rPr>
          <w:rFonts w:ascii="Arial" w:hAnsi="Arial" w:cs="Arial"/>
          <w:lang w:val="en-GB"/>
        </w:rPr>
        <w:t>ir</w:t>
      </w:r>
      <w:r w:rsidR="00511BB3" w:rsidRPr="00C5268A">
        <w:rPr>
          <w:rFonts w:ascii="Arial" w:hAnsi="Arial" w:cs="Arial"/>
          <w:lang w:val="en-GB"/>
        </w:rPr>
        <w:t xml:space="preserve"> assessment</w:t>
      </w:r>
      <w:r w:rsidR="00640E0D" w:rsidRPr="00C5268A">
        <w:rPr>
          <w:rFonts w:ascii="Arial" w:hAnsi="Arial" w:cs="Arial"/>
          <w:lang w:val="en-GB"/>
        </w:rPr>
        <w:t xml:space="preserve"> because i</w:t>
      </w:r>
      <w:r w:rsidR="00B22D42" w:rsidRPr="00C5268A">
        <w:rPr>
          <w:rFonts w:ascii="Arial" w:hAnsi="Arial" w:cs="Arial"/>
          <w:lang w:val="en-GB"/>
        </w:rPr>
        <w:t>ntended learning outcomes and associated</w:t>
      </w:r>
      <w:r w:rsidR="004203DB" w:rsidRPr="00C5268A">
        <w:rPr>
          <w:rFonts w:ascii="Arial" w:hAnsi="Arial" w:cs="Arial"/>
          <w:lang w:val="en-GB"/>
        </w:rPr>
        <w:t xml:space="preserve"> rationale for the learning tasks</w:t>
      </w:r>
      <w:r w:rsidR="00B22D42" w:rsidRPr="00C5268A">
        <w:rPr>
          <w:rFonts w:ascii="Arial" w:hAnsi="Arial" w:cs="Arial"/>
          <w:lang w:val="en-GB"/>
        </w:rPr>
        <w:t xml:space="preserve"> can be communicated to students as they commence their law modules. Intended learning outcomes should be explicitly defined and teaching and learn</w:t>
      </w:r>
      <w:r w:rsidR="005413D1" w:rsidRPr="00C5268A">
        <w:rPr>
          <w:rFonts w:ascii="Arial" w:hAnsi="Arial" w:cs="Arial"/>
          <w:lang w:val="en-GB"/>
        </w:rPr>
        <w:t>ing activities</w:t>
      </w:r>
      <w:r w:rsidR="0071219D" w:rsidRPr="00C5268A">
        <w:rPr>
          <w:rFonts w:ascii="Arial" w:hAnsi="Arial" w:cs="Arial"/>
          <w:lang w:val="en-GB"/>
        </w:rPr>
        <w:t xml:space="preserve"> </w:t>
      </w:r>
      <w:r w:rsidR="002A3DD6" w:rsidRPr="00C5268A">
        <w:rPr>
          <w:rFonts w:ascii="Arial" w:hAnsi="Arial" w:cs="Arial"/>
          <w:lang w:val="en-GB"/>
        </w:rPr>
        <w:t xml:space="preserve">so designed to optimise the </w:t>
      </w:r>
      <w:r w:rsidR="0071219D" w:rsidRPr="00C5268A">
        <w:rPr>
          <w:rFonts w:ascii="Arial" w:hAnsi="Arial" w:cs="Arial"/>
          <w:lang w:val="en-GB"/>
        </w:rPr>
        <w:t xml:space="preserve">likelihood of </w:t>
      </w:r>
      <w:r w:rsidR="002A3DD6" w:rsidRPr="00C5268A">
        <w:rPr>
          <w:rFonts w:ascii="Arial" w:hAnsi="Arial" w:cs="Arial"/>
          <w:lang w:val="en-GB"/>
        </w:rPr>
        <w:t xml:space="preserve">students </w:t>
      </w:r>
      <w:r w:rsidR="005413D1" w:rsidRPr="00C5268A">
        <w:rPr>
          <w:rFonts w:ascii="Arial" w:hAnsi="Arial" w:cs="Arial"/>
          <w:lang w:val="en-GB"/>
        </w:rPr>
        <w:t>achieving their learning outcomes</w:t>
      </w:r>
      <w:r w:rsidR="0071219D" w:rsidRPr="00C5268A">
        <w:rPr>
          <w:rFonts w:ascii="Arial" w:hAnsi="Arial" w:cs="Arial"/>
          <w:lang w:val="en-GB"/>
        </w:rPr>
        <w:t>.</w:t>
      </w:r>
      <w:r w:rsidR="00511BB3" w:rsidRPr="00C5268A">
        <w:rPr>
          <w:rFonts w:ascii="Arial" w:hAnsi="Arial" w:cs="Arial"/>
          <w:lang w:val="en-GB"/>
        </w:rPr>
        <w:t xml:space="preserve"> Biggs terms this </w:t>
      </w:r>
      <w:r w:rsidR="000E0A23" w:rsidRPr="00C5268A">
        <w:rPr>
          <w:rFonts w:ascii="Arial" w:hAnsi="Arial" w:cs="Arial"/>
          <w:lang w:val="en-GB"/>
        </w:rPr>
        <w:t xml:space="preserve">as </w:t>
      </w:r>
      <w:r w:rsidR="00511BB3" w:rsidRPr="00C5268A">
        <w:rPr>
          <w:rFonts w:ascii="Arial" w:hAnsi="Arial" w:cs="Arial"/>
          <w:lang w:val="en-GB"/>
        </w:rPr>
        <w:t>‘</w:t>
      </w:r>
      <w:r w:rsidRPr="00C5268A">
        <w:rPr>
          <w:rFonts w:ascii="Arial" w:hAnsi="Arial" w:cs="Arial"/>
          <w:lang w:val="en-GB"/>
        </w:rPr>
        <w:t xml:space="preserve">constructive alignment’. Stated learning objectives </w:t>
      </w:r>
      <w:r w:rsidR="000E0A23" w:rsidRPr="00C5268A">
        <w:rPr>
          <w:rFonts w:ascii="Arial" w:hAnsi="Arial" w:cs="Arial"/>
          <w:lang w:val="en-GB"/>
        </w:rPr>
        <w:t xml:space="preserve">and </w:t>
      </w:r>
      <w:r w:rsidRPr="00C5268A">
        <w:rPr>
          <w:rFonts w:ascii="Arial" w:hAnsi="Arial" w:cs="Arial"/>
          <w:lang w:val="en-GB"/>
        </w:rPr>
        <w:t xml:space="preserve">their associated </w:t>
      </w:r>
      <w:r w:rsidR="000E0A23" w:rsidRPr="00C5268A">
        <w:rPr>
          <w:rFonts w:ascii="Arial" w:hAnsi="Arial" w:cs="Arial"/>
          <w:lang w:val="en-GB"/>
        </w:rPr>
        <w:t xml:space="preserve">learning tasks </w:t>
      </w:r>
      <w:r w:rsidRPr="00C5268A">
        <w:rPr>
          <w:rFonts w:ascii="Arial" w:hAnsi="Arial" w:cs="Arial"/>
          <w:lang w:val="en-GB"/>
        </w:rPr>
        <w:t xml:space="preserve">are </w:t>
      </w:r>
      <w:r w:rsidR="000E0A23" w:rsidRPr="00C5268A">
        <w:rPr>
          <w:rFonts w:ascii="Arial" w:hAnsi="Arial" w:cs="Arial"/>
          <w:lang w:val="en-GB"/>
        </w:rPr>
        <w:t xml:space="preserve">designed in </w:t>
      </w:r>
      <w:r w:rsidRPr="00C5268A">
        <w:rPr>
          <w:rFonts w:ascii="Arial" w:hAnsi="Arial" w:cs="Arial"/>
          <w:lang w:val="en-GB"/>
        </w:rPr>
        <w:t>such a way as to require</w:t>
      </w:r>
      <w:r w:rsidR="00511BB3" w:rsidRPr="00C5268A">
        <w:rPr>
          <w:rFonts w:ascii="Arial" w:hAnsi="Arial" w:cs="Arial"/>
          <w:lang w:val="en-GB"/>
        </w:rPr>
        <w:t xml:space="preserve"> students to show their understanding</w:t>
      </w:r>
      <w:r w:rsidRPr="00C5268A">
        <w:rPr>
          <w:rFonts w:ascii="Arial" w:hAnsi="Arial" w:cs="Arial"/>
          <w:lang w:val="en-GB"/>
        </w:rPr>
        <w:t xml:space="preserve"> of the subject. Understanding</w:t>
      </w:r>
      <w:r w:rsidR="000E0A23" w:rsidRPr="00C5268A">
        <w:rPr>
          <w:rFonts w:ascii="Arial" w:hAnsi="Arial" w:cs="Arial"/>
          <w:lang w:val="en-GB"/>
        </w:rPr>
        <w:t xml:space="preserve"> </w:t>
      </w:r>
      <w:r w:rsidRPr="00C5268A">
        <w:rPr>
          <w:rFonts w:ascii="Arial" w:hAnsi="Arial" w:cs="Arial"/>
          <w:lang w:val="en-GB"/>
        </w:rPr>
        <w:t>(</w:t>
      </w:r>
      <w:r w:rsidR="000E0A23" w:rsidRPr="00C5268A">
        <w:rPr>
          <w:rFonts w:ascii="Arial" w:hAnsi="Arial" w:cs="Arial"/>
          <w:lang w:val="en-GB"/>
        </w:rPr>
        <w:t>an individual construction</w:t>
      </w:r>
      <w:r w:rsidR="0089435A" w:rsidRPr="00C5268A">
        <w:rPr>
          <w:rFonts w:ascii="Arial" w:hAnsi="Arial" w:cs="Arial"/>
          <w:lang w:val="en-GB"/>
        </w:rPr>
        <w:t xml:space="preserve">) </w:t>
      </w:r>
      <w:r w:rsidR="0051581D" w:rsidRPr="00C5268A">
        <w:rPr>
          <w:rFonts w:ascii="Arial" w:hAnsi="Arial" w:cs="Arial"/>
          <w:lang w:val="en-GB"/>
        </w:rPr>
        <w:t xml:space="preserve">would be assessed by </w:t>
      </w:r>
      <w:r w:rsidR="0089435A" w:rsidRPr="00C5268A">
        <w:rPr>
          <w:rFonts w:ascii="Arial" w:hAnsi="Arial" w:cs="Arial"/>
          <w:lang w:val="en-GB"/>
        </w:rPr>
        <w:t>sum</w:t>
      </w:r>
      <w:r w:rsidR="0051581D" w:rsidRPr="00C5268A">
        <w:rPr>
          <w:rFonts w:ascii="Arial" w:hAnsi="Arial" w:cs="Arial"/>
          <w:lang w:val="en-GB"/>
        </w:rPr>
        <w:t>m</w:t>
      </w:r>
      <w:r w:rsidR="0089435A" w:rsidRPr="00C5268A">
        <w:rPr>
          <w:rFonts w:ascii="Arial" w:hAnsi="Arial" w:cs="Arial"/>
          <w:lang w:val="en-GB"/>
        </w:rPr>
        <w:t xml:space="preserve">ative </w:t>
      </w:r>
      <w:r w:rsidR="004203DB" w:rsidRPr="00C5268A">
        <w:rPr>
          <w:rFonts w:ascii="Arial" w:hAnsi="Arial" w:cs="Arial"/>
          <w:lang w:val="en-GB"/>
        </w:rPr>
        <w:t xml:space="preserve">assessment </w:t>
      </w:r>
      <w:r w:rsidR="0089435A" w:rsidRPr="00C5268A">
        <w:rPr>
          <w:rFonts w:ascii="Arial" w:hAnsi="Arial" w:cs="Arial"/>
          <w:lang w:val="en-GB"/>
        </w:rPr>
        <w:t xml:space="preserve">of the portfolio </w:t>
      </w:r>
      <w:r w:rsidR="0051581D" w:rsidRPr="00C5268A">
        <w:rPr>
          <w:rFonts w:ascii="Arial" w:hAnsi="Arial" w:cs="Arial"/>
          <w:lang w:val="en-GB"/>
        </w:rPr>
        <w:t xml:space="preserve">content </w:t>
      </w:r>
      <w:r w:rsidR="0089435A" w:rsidRPr="00C5268A">
        <w:rPr>
          <w:rFonts w:ascii="Arial" w:hAnsi="Arial" w:cs="Arial"/>
          <w:lang w:val="en-GB"/>
        </w:rPr>
        <w:t>at the end of the module</w:t>
      </w:r>
      <w:r w:rsidR="00855673" w:rsidRPr="00C5268A">
        <w:rPr>
          <w:rFonts w:ascii="Arial" w:hAnsi="Arial" w:cs="Arial"/>
          <w:lang w:val="en-GB"/>
        </w:rPr>
        <w:t xml:space="preserve"> thus demonstrating</w:t>
      </w:r>
      <w:r w:rsidR="0089435A" w:rsidRPr="00C5268A">
        <w:rPr>
          <w:rFonts w:ascii="Arial" w:hAnsi="Arial" w:cs="Arial"/>
          <w:lang w:val="en-GB"/>
        </w:rPr>
        <w:t xml:space="preserve"> whether</w:t>
      </w:r>
      <w:r w:rsidR="000E0A23" w:rsidRPr="00C5268A">
        <w:rPr>
          <w:rFonts w:ascii="Arial" w:hAnsi="Arial" w:cs="Arial"/>
          <w:lang w:val="en-GB"/>
        </w:rPr>
        <w:t xml:space="preserve"> </w:t>
      </w:r>
      <w:r w:rsidR="00717D0B" w:rsidRPr="00C5268A">
        <w:rPr>
          <w:rFonts w:ascii="Arial" w:hAnsi="Arial" w:cs="Arial"/>
          <w:lang w:val="en-GB"/>
        </w:rPr>
        <w:t>students’</w:t>
      </w:r>
      <w:r w:rsidR="0051581D" w:rsidRPr="00C5268A">
        <w:rPr>
          <w:rFonts w:ascii="Arial" w:hAnsi="Arial" w:cs="Arial"/>
          <w:lang w:val="en-GB"/>
        </w:rPr>
        <w:t xml:space="preserve"> </w:t>
      </w:r>
      <w:r w:rsidR="000E0A23" w:rsidRPr="00C5268A">
        <w:rPr>
          <w:rFonts w:ascii="Arial" w:hAnsi="Arial" w:cs="Arial"/>
          <w:lang w:val="en-GB"/>
        </w:rPr>
        <w:t>individual constructions</w:t>
      </w:r>
      <w:r w:rsidR="004203DB" w:rsidRPr="00C5268A">
        <w:rPr>
          <w:rFonts w:ascii="Arial" w:hAnsi="Arial" w:cs="Arial"/>
          <w:lang w:val="en-GB"/>
        </w:rPr>
        <w:t xml:space="preserve"> of understanding</w:t>
      </w:r>
      <w:r w:rsidR="000E0A23" w:rsidRPr="00C5268A">
        <w:rPr>
          <w:rFonts w:ascii="Arial" w:hAnsi="Arial" w:cs="Arial"/>
          <w:lang w:val="en-GB"/>
        </w:rPr>
        <w:t xml:space="preserve"> are compatible </w:t>
      </w:r>
      <w:r w:rsidR="004203DB" w:rsidRPr="00C5268A">
        <w:rPr>
          <w:rFonts w:ascii="Arial" w:hAnsi="Arial" w:cs="Arial"/>
          <w:lang w:val="en-GB"/>
        </w:rPr>
        <w:t>with the test</w:t>
      </w:r>
      <w:r w:rsidR="00640E0D" w:rsidRPr="00C5268A">
        <w:rPr>
          <w:rFonts w:ascii="Arial" w:hAnsi="Arial" w:cs="Arial"/>
          <w:lang w:val="en-GB"/>
        </w:rPr>
        <w:t xml:space="preserve"> (Savery and </w:t>
      </w:r>
      <w:r w:rsidR="00523E9D" w:rsidRPr="00C5268A">
        <w:rPr>
          <w:rFonts w:ascii="Arial" w:hAnsi="Arial" w:cs="Arial"/>
          <w:lang w:val="en-GB"/>
        </w:rPr>
        <w:t>Duffy 2001</w:t>
      </w:r>
      <w:r w:rsidR="000E0A23" w:rsidRPr="00C5268A">
        <w:rPr>
          <w:rFonts w:ascii="Arial" w:hAnsi="Arial" w:cs="Arial"/>
          <w:lang w:val="en-GB"/>
        </w:rPr>
        <w:t>).</w:t>
      </w:r>
    </w:p>
    <w:p w:rsidR="00855673" w:rsidRPr="00C5268A" w:rsidRDefault="00AD13BB" w:rsidP="00C5268A">
      <w:pPr>
        <w:jc w:val="both"/>
        <w:rPr>
          <w:rFonts w:ascii="Arial" w:hAnsi="Arial" w:cs="Arial"/>
          <w:lang w:val="en-GB"/>
        </w:rPr>
      </w:pPr>
      <w:r w:rsidRPr="00C5268A">
        <w:rPr>
          <w:rFonts w:ascii="Arial" w:hAnsi="Arial" w:cs="Arial"/>
          <w:lang w:val="en-GB"/>
        </w:rPr>
        <w:t xml:space="preserve">Portfolio assessment could serve as a useful tool as effects of the </w:t>
      </w:r>
      <w:r w:rsidR="00812EC1" w:rsidRPr="00C5268A">
        <w:rPr>
          <w:rFonts w:ascii="Arial" w:hAnsi="Arial" w:cs="Arial"/>
          <w:lang w:val="en-GB"/>
        </w:rPr>
        <w:t>recession</w:t>
      </w:r>
      <w:r w:rsidR="00B36491" w:rsidRPr="00C5268A">
        <w:rPr>
          <w:rFonts w:ascii="Arial" w:hAnsi="Arial" w:cs="Arial"/>
          <w:lang w:val="en-GB"/>
        </w:rPr>
        <w:t xml:space="preserve"> continue</w:t>
      </w:r>
      <w:r w:rsidR="00DC7166" w:rsidRPr="00C5268A">
        <w:rPr>
          <w:rFonts w:ascii="Arial" w:hAnsi="Arial" w:cs="Arial"/>
          <w:lang w:val="en-GB"/>
        </w:rPr>
        <w:t xml:space="preserve"> to</w:t>
      </w:r>
      <w:r w:rsidRPr="00C5268A">
        <w:rPr>
          <w:rFonts w:ascii="Arial" w:hAnsi="Arial" w:cs="Arial"/>
          <w:lang w:val="en-GB"/>
        </w:rPr>
        <w:t xml:space="preserve"> bite</w:t>
      </w:r>
      <w:r w:rsidR="00BD3469" w:rsidRPr="00C5268A">
        <w:rPr>
          <w:rFonts w:ascii="Arial" w:hAnsi="Arial" w:cs="Arial"/>
          <w:lang w:val="en-GB"/>
        </w:rPr>
        <w:t>. As</w:t>
      </w:r>
      <w:r w:rsidRPr="00C5268A">
        <w:rPr>
          <w:rFonts w:ascii="Arial" w:hAnsi="Arial" w:cs="Arial"/>
          <w:lang w:val="en-GB"/>
        </w:rPr>
        <w:t xml:space="preserve"> universities are increasingly corporative and comp</w:t>
      </w:r>
      <w:r w:rsidR="00523E9D" w:rsidRPr="00C5268A">
        <w:rPr>
          <w:rFonts w:ascii="Arial" w:hAnsi="Arial" w:cs="Arial"/>
          <w:lang w:val="en-GB"/>
        </w:rPr>
        <w:t xml:space="preserve">eting for market space, </w:t>
      </w:r>
      <w:r w:rsidR="002A3DD6" w:rsidRPr="00C5268A">
        <w:rPr>
          <w:rFonts w:ascii="Arial" w:hAnsi="Arial" w:cs="Arial"/>
          <w:lang w:val="en-GB"/>
        </w:rPr>
        <w:t xml:space="preserve">portfolio assessment provides an ideal </w:t>
      </w:r>
      <w:r w:rsidRPr="00C5268A">
        <w:rPr>
          <w:rFonts w:ascii="Arial" w:hAnsi="Arial" w:cs="Arial"/>
          <w:lang w:val="en-GB"/>
        </w:rPr>
        <w:t xml:space="preserve">opportunity for collaboration with the legal profession and businesses in design of the portfolio content. </w:t>
      </w:r>
      <w:r w:rsidR="00BD3469" w:rsidRPr="00C5268A">
        <w:rPr>
          <w:rFonts w:ascii="Arial" w:hAnsi="Arial" w:cs="Arial"/>
          <w:lang w:val="en-GB"/>
        </w:rPr>
        <w:t>Recent conferences considering the future of teaching in Higher education are emphasisi</w:t>
      </w:r>
      <w:r w:rsidR="00812EC1" w:rsidRPr="00C5268A">
        <w:rPr>
          <w:rFonts w:ascii="Arial" w:hAnsi="Arial" w:cs="Arial"/>
          <w:lang w:val="en-GB"/>
        </w:rPr>
        <w:t xml:space="preserve">ng the importance of collaboration between </w:t>
      </w:r>
      <w:r w:rsidR="00523E9D" w:rsidRPr="00C5268A">
        <w:rPr>
          <w:rFonts w:ascii="Arial" w:hAnsi="Arial" w:cs="Arial"/>
          <w:lang w:val="en-GB"/>
        </w:rPr>
        <w:t xml:space="preserve">the </w:t>
      </w:r>
      <w:r w:rsidR="00812EC1" w:rsidRPr="00C5268A">
        <w:rPr>
          <w:rFonts w:ascii="Arial" w:hAnsi="Arial" w:cs="Arial"/>
          <w:lang w:val="en-GB"/>
        </w:rPr>
        <w:t xml:space="preserve">potential student </w:t>
      </w:r>
      <w:r w:rsidR="00BD3469" w:rsidRPr="00C5268A">
        <w:rPr>
          <w:rFonts w:ascii="Arial" w:hAnsi="Arial" w:cs="Arial"/>
          <w:lang w:val="en-GB"/>
        </w:rPr>
        <w:t>employers</w:t>
      </w:r>
      <w:r w:rsidR="00812EC1" w:rsidRPr="00C5268A">
        <w:rPr>
          <w:rFonts w:ascii="Arial" w:hAnsi="Arial" w:cs="Arial"/>
          <w:lang w:val="en-GB"/>
        </w:rPr>
        <w:t xml:space="preserve"> and higher education institutions to design </w:t>
      </w:r>
      <w:r w:rsidR="00BD3469" w:rsidRPr="00C5268A">
        <w:rPr>
          <w:rFonts w:ascii="Arial" w:hAnsi="Arial" w:cs="Arial"/>
          <w:lang w:val="en-GB"/>
        </w:rPr>
        <w:t>programme</w:t>
      </w:r>
      <w:r w:rsidR="00812EC1" w:rsidRPr="00C5268A">
        <w:rPr>
          <w:rFonts w:ascii="Arial" w:hAnsi="Arial" w:cs="Arial"/>
          <w:lang w:val="en-GB"/>
        </w:rPr>
        <w:t xml:space="preserve">s which meet with </w:t>
      </w:r>
      <w:r w:rsidR="00523E9D" w:rsidRPr="00C5268A">
        <w:rPr>
          <w:rFonts w:ascii="Arial" w:hAnsi="Arial" w:cs="Arial"/>
          <w:lang w:val="en-GB"/>
        </w:rPr>
        <w:t>employer expectation (Responding to Employers: Moving into the Mainstream 2010</w:t>
      </w:r>
      <w:r w:rsidR="00BD3469" w:rsidRPr="00C5268A">
        <w:rPr>
          <w:rFonts w:ascii="Arial" w:hAnsi="Arial" w:cs="Arial"/>
          <w:lang w:val="en-GB"/>
        </w:rPr>
        <w:t>).</w:t>
      </w:r>
      <w:r w:rsidR="00523E9D" w:rsidRPr="00C5268A">
        <w:rPr>
          <w:rFonts w:ascii="Arial" w:hAnsi="Arial" w:cs="Arial"/>
          <w:lang w:val="en-GB"/>
        </w:rPr>
        <w:t xml:space="preserve"> </w:t>
      </w:r>
      <w:r w:rsidR="00830E23" w:rsidRPr="00C5268A">
        <w:rPr>
          <w:rFonts w:ascii="Arial" w:hAnsi="Arial" w:cs="Arial"/>
          <w:lang w:val="en-GB"/>
        </w:rPr>
        <w:t>In designing</w:t>
      </w:r>
      <w:r w:rsidR="002A3DD6" w:rsidRPr="00C5268A">
        <w:rPr>
          <w:rFonts w:ascii="Arial" w:hAnsi="Arial" w:cs="Arial"/>
          <w:lang w:val="en-GB"/>
        </w:rPr>
        <w:t xml:space="preserve"> learning tasks </w:t>
      </w:r>
      <w:r w:rsidR="00830E23" w:rsidRPr="00C5268A">
        <w:rPr>
          <w:rFonts w:ascii="Arial" w:hAnsi="Arial" w:cs="Arial"/>
          <w:lang w:val="en-GB"/>
        </w:rPr>
        <w:t xml:space="preserve">to achieve these aims, there is the potential for </w:t>
      </w:r>
      <w:r w:rsidR="00523E9D" w:rsidRPr="00C5268A">
        <w:rPr>
          <w:rFonts w:ascii="Arial" w:hAnsi="Arial" w:cs="Arial"/>
          <w:lang w:val="en-GB"/>
        </w:rPr>
        <w:t>the development of</w:t>
      </w:r>
      <w:r w:rsidR="00830E23" w:rsidRPr="00C5268A">
        <w:rPr>
          <w:rFonts w:ascii="Arial" w:hAnsi="Arial" w:cs="Arial"/>
          <w:lang w:val="en-GB"/>
        </w:rPr>
        <w:t xml:space="preserve"> use of creative and stimulating teaching methods with primary focus on what the student (and not the teacher) does in the classroom. Such assessment </w:t>
      </w:r>
      <w:r w:rsidR="00523E9D" w:rsidRPr="00C5268A">
        <w:rPr>
          <w:rFonts w:ascii="Arial" w:hAnsi="Arial" w:cs="Arial"/>
          <w:lang w:val="en-GB"/>
        </w:rPr>
        <w:t xml:space="preserve">then </w:t>
      </w:r>
      <w:r w:rsidR="00830E23" w:rsidRPr="00C5268A">
        <w:rPr>
          <w:rFonts w:ascii="Arial" w:hAnsi="Arial" w:cs="Arial"/>
          <w:lang w:val="en-GB"/>
        </w:rPr>
        <w:t xml:space="preserve">embodies principles of critical reflection of </w:t>
      </w:r>
      <w:r w:rsidR="00523E9D" w:rsidRPr="00C5268A">
        <w:rPr>
          <w:rFonts w:ascii="Arial" w:hAnsi="Arial" w:cs="Arial"/>
          <w:lang w:val="en-GB"/>
        </w:rPr>
        <w:t xml:space="preserve">the given </w:t>
      </w:r>
      <w:r w:rsidR="00830E23" w:rsidRPr="00C5268A">
        <w:rPr>
          <w:rFonts w:ascii="Arial" w:hAnsi="Arial" w:cs="Arial"/>
          <w:lang w:val="en-GB"/>
        </w:rPr>
        <w:t>assessment tasks. If formative feedback is given during the assessment process students will be encouraged to use this feedback in a constructive manner as they reflect on how they might improve for the summative assessment of their po</w:t>
      </w:r>
      <w:r w:rsidR="00523E9D" w:rsidRPr="00C5268A">
        <w:rPr>
          <w:rFonts w:ascii="Arial" w:hAnsi="Arial" w:cs="Arial"/>
          <w:lang w:val="en-GB"/>
        </w:rPr>
        <w:t>rtfolio at the end of the assessment period</w:t>
      </w:r>
      <w:r w:rsidR="00830E23" w:rsidRPr="00C5268A">
        <w:rPr>
          <w:rFonts w:ascii="Arial" w:hAnsi="Arial" w:cs="Arial"/>
          <w:lang w:val="en-GB"/>
        </w:rPr>
        <w:t>. As Biggs observes most students will turn declaratory into functioning knowledge... but only if they have to</w:t>
      </w:r>
      <w:r w:rsidR="00523E9D" w:rsidRPr="00C5268A">
        <w:rPr>
          <w:rFonts w:ascii="Arial" w:hAnsi="Arial" w:cs="Arial"/>
          <w:lang w:val="en-GB"/>
        </w:rPr>
        <w:t xml:space="preserve"> (Biggs and Tang 2007: 9</w:t>
      </w:r>
      <w:r w:rsidR="00DB2855" w:rsidRPr="00C5268A">
        <w:rPr>
          <w:rFonts w:ascii="Arial" w:hAnsi="Arial" w:cs="Arial"/>
          <w:lang w:val="en-GB"/>
        </w:rPr>
        <w:t>)</w:t>
      </w:r>
      <w:r w:rsidR="00830E23" w:rsidRPr="00C5268A">
        <w:rPr>
          <w:rFonts w:ascii="Arial" w:hAnsi="Arial" w:cs="Arial"/>
          <w:lang w:val="en-GB"/>
        </w:rPr>
        <w:t>. As a consequence</w:t>
      </w:r>
      <w:r w:rsidR="00DB2855" w:rsidRPr="00C5268A">
        <w:rPr>
          <w:rFonts w:ascii="Arial" w:hAnsi="Arial" w:cs="Arial"/>
          <w:lang w:val="en-GB"/>
        </w:rPr>
        <w:t xml:space="preserve"> of such transformation of knowledge, portfolio assessment should become</w:t>
      </w:r>
      <w:r w:rsidR="00830E23" w:rsidRPr="00C5268A">
        <w:rPr>
          <w:rFonts w:ascii="Arial" w:hAnsi="Arial" w:cs="Arial"/>
          <w:lang w:val="en-GB"/>
        </w:rPr>
        <w:t xml:space="preserve"> a valuable tool for a life-long learning process in the legal</w:t>
      </w:r>
      <w:r w:rsidR="00523E9D" w:rsidRPr="00C5268A">
        <w:rPr>
          <w:rFonts w:ascii="Arial" w:hAnsi="Arial" w:cs="Arial"/>
          <w:lang w:val="en-GB"/>
        </w:rPr>
        <w:t xml:space="preserve"> or indeed any other</w:t>
      </w:r>
      <w:r w:rsidR="00830E23" w:rsidRPr="00C5268A">
        <w:rPr>
          <w:rFonts w:ascii="Arial" w:hAnsi="Arial" w:cs="Arial"/>
          <w:lang w:val="en-GB"/>
        </w:rPr>
        <w:t xml:space="preserve"> profession</w:t>
      </w:r>
      <w:r w:rsidR="00DB2855" w:rsidRPr="00C5268A">
        <w:rPr>
          <w:rFonts w:ascii="Arial" w:hAnsi="Arial" w:cs="Arial"/>
          <w:lang w:val="en-GB"/>
        </w:rPr>
        <w:t>. In transfor</w:t>
      </w:r>
      <w:r w:rsidR="00A93007" w:rsidRPr="00C5268A">
        <w:rPr>
          <w:rFonts w:ascii="Arial" w:hAnsi="Arial" w:cs="Arial"/>
          <w:lang w:val="en-GB"/>
        </w:rPr>
        <w:t>ming the way students think by the</w:t>
      </w:r>
      <w:r w:rsidR="00DB2855" w:rsidRPr="00C5268A">
        <w:rPr>
          <w:rFonts w:ascii="Arial" w:hAnsi="Arial" w:cs="Arial"/>
          <w:lang w:val="en-GB"/>
        </w:rPr>
        <w:t xml:space="preserve"> process of critical reflection we are more likely to promote a</w:t>
      </w:r>
      <w:r w:rsidR="00BD1B10" w:rsidRPr="00C5268A">
        <w:rPr>
          <w:rFonts w:ascii="Arial" w:hAnsi="Arial" w:cs="Arial"/>
          <w:lang w:val="en-GB"/>
        </w:rPr>
        <w:t xml:space="preserve"> required</w:t>
      </w:r>
      <w:r w:rsidR="00DB2855" w:rsidRPr="00C5268A">
        <w:rPr>
          <w:rFonts w:ascii="Arial" w:hAnsi="Arial" w:cs="Arial"/>
          <w:lang w:val="en-GB"/>
        </w:rPr>
        <w:t xml:space="preserve"> progression from novice to expert in both attitudes and approaches to the discipline and to future problem solving required for students to be successful </w:t>
      </w:r>
      <w:r w:rsidR="00812EC1" w:rsidRPr="00C5268A">
        <w:rPr>
          <w:rFonts w:ascii="Arial" w:hAnsi="Arial" w:cs="Arial"/>
          <w:lang w:val="en-GB"/>
        </w:rPr>
        <w:t>after university</w:t>
      </w:r>
      <w:r w:rsidR="00A93007" w:rsidRPr="00C5268A">
        <w:rPr>
          <w:rFonts w:ascii="Arial" w:hAnsi="Arial" w:cs="Arial"/>
          <w:lang w:val="en-GB"/>
        </w:rPr>
        <w:t xml:space="preserve"> (Weiman 2007</w:t>
      </w:r>
      <w:r w:rsidR="00DB2855" w:rsidRPr="00C5268A">
        <w:rPr>
          <w:rFonts w:ascii="Arial" w:hAnsi="Arial" w:cs="Arial"/>
          <w:lang w:val="en-GB"/>
        </w:rPr>
        <w:t xml:space="preserve">). </w:t>
      </w:r>
      <w:r w:rsidR="002F0197" w:rsidRPr="00C5268A">
        <w:rPr>
          <w:rFonts w:ascii="Arial" w:hAnsi="Arial" w:cs="Arial"/>
          <w:lang w:val="en-GB"/>
        </w:rPr>
        <w:t>If education is to be me</w:t>
      </w:r>
      <w:r w:rsidR="009A1F98" w:rsidRPr="00C5268A">
        <w:rPr>
          <w:rFonts w:ascii="Arial" w:hAnsi="Arial" w:cs="Arial"/>
          <w:lang w:val="en-GB"/>
        </w:rPr>
        <w:t>aningful we should be doing our best</w:t>
      </w:r>
      <w:r w:rsidR="002F0197" w:rsidRPr="00C5268A">
        <w:rPr>
          <w:rFonts w:ascii="Arial" w:hAnsi="Arial" w:cs="Arial"/>
          <w:lang w:val="en-GB"/>
        </w:rPr>
        <w:t xml:space="preserve"> to transform the way in which students think</w:t>
      </w:r>
      <w:r w:rsidR="009A1F98" w:rsidRPr="00C5268A">
        <w:rPr>
          <w:rFonts w:ascii="Arial" w:hAnsi="Arial" w:cs="Arial"/>
          <w:lang w:val="en-GB"/>
        </w:rPr>
        <w:t xml:space="preserve"> </w:t>
      </w:r>
      <w:r w:rsidR="00A93007" w:rsidRPr="00C5268A">
        <w:rPr>
          <w:rFonts w:ascii="Arial" w:hAnsi="Arial" w:cs="Arial"/>
          <w:lang w:val="en-GB"/>
        </w:rPr>
        <w:t>to optimise their chances of gaining employment</w:t>
      </w:r>
      <w:r w:rsidR="00812EC1" w:rsidRPr="00C5268A">
        <w:rPr>
          <w:rFonts w:ascii="Arial" w:hAnsi="Arial" w:cs="Arial"/>
          <w:lang w:val="en-GB"/>
        </w:rPr>
        <w:t>.</w:t>
      </w:r>
    </w:p>
    <w:p w:rsidR="00CE2F0B" w:rsidRPr="00C5268A" w:rsidRDefault="00CE2F0B" w:rsidP="00C5268A">
      <w:pPr>
        <w:jc w:val="both"/>
        <w:rPr>
          <w:rFonts w:ascii="Arial" w:hAnsi="Arial" w:cs="Arial"/>
          <w:lang w:val="en-GB"/>
        </w:rPr>
      </w:pPr>
      <w:r w:rsidRPr="00C5268A">
        <w:rPr>
          <w:rFonts w:ascii="Arial" w:hAnsi="Arial" w:cs="Arial"/>
          <w:lang w:val="en-GB"/>
        </w:rPr>
        <w:t xml:space="preserve">By adopting portfolio assessment in collaboration with other stake-holders there is </w:t>
      </w:r>
      <w:r w:rsidR="004628AC" w:rsidRPr="00C5268A">
        <w:rPr>
          <w:rFonts w:ascii="Arial" w:hAnsi="Arial" w:cs="Arial"/>
          <w:lang w:val="en-GB"/>
        </w:rPr>
        <w:t xml:space="preserve">the potential to ensure that </w:t>
      </w:r>
      <w:r w:rsidRPr="00C5268A">
        <w:rPr>
          <w:rFonts w:ascii="Arial" w:hAnsi="Arial" w:cs="Arial"/>
          <w:lang w:val="en-GB"/>
        </w:rPr>
        <w:t>individual students achievement in their performance of the portfolio content is not simply a matter of ‘counting marks’, instead it is of making holistic judgements about the in</w:t>
      </w:r>
      <w:r w:rsidR="004628AC" w:rsidRPr="00C5268A">
        <w:rPr>
          <w:rFonts w:ascii="Arial" w:hAnsi="Arial" w:cs="Arial"/>
          <w:lang w:val="en-GB"/>
        </w:rPr>
        <w:t>dividual (Biggs</w:t>
      </w:r>
      <w:r w:rsidR="00DC7166" w:rsidRPr="00C5268A">
        <w:rPr>
          <w:rFonts w:ascii="Arial" w:hAnsi="Arial" w:cs="Arial"/>
          <w:lang w:val="en-GB"/>
        </w:rPr>
        <w:t>)</w:t>
      </w:r>
      <w:r w:rsidR="002A3DD6" w:rsidRPr="00C5268A">
        <w:rPr>
          <w:rFonts w:ascii="Arial" w:hAnsi="Arial" w:cs="Arial"/>
          <w:lang w:val="en-GB"/>
        </w:rPr>
        <w:t>.</w:t>
      </w:r>
      <w:r w:rsidR="00DC7166" w:rsidRPr="00C5268A">
        <w:rPr>
          <w:rFonts w:ascii="Arial" w:hAnsi="Arial" w:cs="Arial"/>
          <w:lang w:val="en-GB"/>
        </w:rPr>
        <w:t xml:space="preserve"> I</w:t>
      </w:r>
      <w:r w:rsidRPr="00C5268A">
        <w:rPr>
          <w:rFonts w:ascii="Arial" w:hAnsi="Arial" w:cs="Arial"/>
          <w:lang w:val="en-GB"/>
        </w:rPr>
        <w:t>ntended learning outcomes</w:t>
      </w:r>
      <w:r w:rsidR="00DC7166" w:rsidRPr="00C5268A">
        <w:rPr>
          <w:rFonts w:ascii="Arial" w:hAnsi="Arial" w:cs="Arial"/>
          <w:lang w:val="en-GB"/>
        </w:rPr>
        <w:t xml:space="preserve"> would</w:t>
      </w:r>
      <w:r w:rsidR="00072173" w:rsidRPr="00C5268A">
        <w:rPr>
          <w:rFonts w:ascii="Arial" w:hAnsi="Arial" w:cs="Arial"/>
          <w:lang w:val="en-GB"/>
        </w:rPr>
        <w:t xml:space="preserve"> incorporate the sought </w:t>
      </w:r>
      <w:r w:rsidRPr="00C5268A">
        <w:rPr>
          <w:rFonts w:ascii="Arial" w:hAnsi="Arial" w:cs="Arial"/>
          <w:lang w:val="en-GB"/>
        </w:rPr>
        <w:t>for qualities of performance as determined</w:t>
      </w:r>
      <w:r w:rsidR="00812EC1" w:rsidRPr="00C5268A">
        <w:rPr>
          <w:rFonts w:ascii="Arial" w:hAnsi="Arial" w:cs="Arial"/>
          <w:lang w:val="en-GB"/>
        </w:rPr>
        <w:t xml:space="preserve"> by the academic institution in collaboration with</w:t>
      </w:r>
      <w:r w:rsidRPr="00C5268A">
        <w:rPr>
          <w:rFonts w:ascii="Arial" w:hAnsi="Arial" w:cs="Arial"/>
          <w:lang w:val="en-GB"/>
        </w:rPr>
        <w:t xml:space="preserve"> other stake-holders.</w:t>
      </w:r>
    </w:p>
    <w:p w:rsidR="000362DF" w:rsidRPr="00C5268A" w:rsidRDefault="000362DF" w:rsidP="00C5268A">
      <w:pPr>
        <w:jc w:val="both"/>
        <w:rPr>
          <w:rFonts w:ascii="Arial" w:hAnsi="Arial" w:cs="Arial"/>
          <w:lang w:val="en-GB"/>
        </w:rPr>
      </w:pPr>
      <w:r w:rsidRPr="00C5268A">
        <w:rPr>
          <w:rFonts w:ascii="Arial" w:hAnsi="Arial" w:cs="Arial"/>
          <w:lang w:val="en-GB"/>
        </w:rPr>
        <w:t>It is recognised that ideas suggested above are not new. During my research for my Post Graduate Certificate in Higher Education I considered and was influenced by other academics. In particular projects developed by the Glasgow Gradu</w:t>
      </w:r>
      <w:r w:rsidR="004628AC" w:rsidRPr="00C5268A">
        <w:rPr>
          <w:rFonts w:ascii="Arial" w:hAnsi="Arial" w:cs="Arial"/>
          <w:lang w:val="en-GB"/>
        </w:rPr>
        <w:t>ate Law School (Maharg 2007: 5</w:t>
      </w:r>
      <w:r w:rsidR="002A3DD6" w:rsidRPr="00C5268A">
        <w:rPr>
          <w:rFonts w:ascii="Arial" w:hAnsi="Arial" w:cs="Arial"/>
          <w:lang w:val="en-GB"/>
        </w:rPr>
        <w:t xml:space="preserve">). </w:t>
      </w:r>
    </w:p>
    <w:p w:rsidR="00763060" w:rsidRPr="00C5268A" w:rsidRDefault="00E302F6" w:rsidP="00C5268A">
      <w:pPr>
        <w:jc w:val="both"/>
        <w:rPr>
          <w:rFonts w:ascii="Arial" w:hAnsi="Arial" w:cs="Arial"/>
          <w:lang w:val="en-GB"/>
        </w:rPr>
      </w:pPr>
      <w:r w:rsidRPr="00C5268A">
        <w:rPr>
          <w:rFonts w:ascii="Arial" w:hAnsi="Arial" w:cs="Arial"/>
          <w:lang w:val="en-GB"/>
        </w:rPr>
        <w:lastRenderedPageBreak/>
        <w:t xml:space="preserve">It is contended that </w:t>
      </w:r>
      <w:r w:rsidR="004628AC" w:rsidRPr="00C5268A">
        <w:rPr>
          <w:rFonts w:ascii="Arial" w:hAnsi="Arial" w:cs="Arial"/>
          <w:lang w:val="en-GB"/>
        </w:rPr>
        <w:t xml:space="preserve">the </w:t>
      </w:r>
      <w:r w:rsidRPr="00C5268A">
        <w:rPr>
          <w:rFonts w:ascii="Arial" w:hAnsi="Arial" w:cs="Arial"/>
          <w:lang w:val="en-GB"/>
        </w:rPr>
        <w:t>potential benefits</w:t>
      </w:r>
      <w:r w:rsidR="00763060" w:rsidRPr="00C5268A">
        <w:rPr>
          <w:rFonts w:ascii="Arial" w:hAnsi="Arial" w:cs="Arial"/>
          <w:lang w:val="en-GB"/>
        </w:rPr>
        <w:t xml:space="preserve"> of portfolio assessment will not be realised</w:t>
      </w:r>
      <w:r w:rsidRPr="00C5268A">
        <w:rPr>
          <w:rFonts w:ascii="Arial" w:hAnsi="Arial" w:cs="Arial"/>
          <w:lang w:val="en-GB"/>
        </w:rPr>
        <w:t xml:space="preserve"> unless</w:t>
      </w:r>
      <w:r w:rsidR="00763060" w:rsidRPr="00C5268A">
        <w:rPr>
          <w:rFonts w:ascii="Arial" w:hAnsi="Arial" w:cs="Arial"/>
          <w:lang w:val="en-GB"/>
        </w:rPr>
        <w:t xml:space="preserve"> academics have undertaken portfolio assessment of their own teaching. </w:t>
      </w:r>
      <w:r w:rsidRPr="00C5268A">
        <w:rPr>
          <w:rFonts w:ascii="Arial" w:hAnsi="Arial" w:cs="Arial"/>
          <w:lang w:val="en-GB"/>
        </w:rPr>
        <w:t xml:space="preserve">In 2009 I and a colleague piloted </w:t>
      </w:r>
      <w:r w:rsidR="004628AC" w:rsidRPr="00C5268A">
        <w:rPr>
          <w:rFonts w:ascii="Arial" w:hAnsi="Arial" w:cs="Arial"/>
          <w:lang w:val="en-GB"/>
        </w:rPr>
        <w:t xml:space="preserve">a </w:t>
      </w:r>
      <w:r w:rsidRPr="00C5268A">
        <w:rPr>
          <w:rFonts w:ascii="Arial" w:hAnsi="Arial" w:cs="Arial"/>
          <w:lang w:val="en-GB"/>
        </w:rPr>
        <w:t xml:space="preserve">portfolio assessment for first year undergraduate students. Unfortunately this was not a success. On reflection we </w:t>
      </w:r>
      <w:r w:rsidR="004628AC" w:rsidRPr="00C5268A">
        <w:rPr>
          <w:rFonts w:ascii="Arial" w:hAnsi="Arial" w:cs="Arial"/>
          <w:lang w:val="en-GB"/>
        </w:rPr>
        <w:t xml:space="preserve">considered that in order for this </w:t>
      </w:r>
      <w:r w:rsidRPr="00C5268A">
        <w:rPr>
          <w:rFonts w:ascii="Arial" w:hAnsi="Arial" w:cs="Arial"/>
          <w:lang w:val="en-GB"/>
        </w:rPr>
        <w:t xml:space="preserve">to have been successful we would have needed to have undertaken portfolio assessment </w:t>
      </w:r>
      <w:r w:rsidR="007C2615" w:rsidRPr="00C5268A">
        <w:rPr>
          <w:rFonts w:ascii="Arial" w:hAnsi="Arial" w:cs="Arial"/>
          <w:lang w:val="en-GB"/>
        </w:rPr>
        <w:t xml:space="preserve">of our own teaching practice to </w:t>
      </w:r>
      <w:r w:rsidR="004628AC" w:rsidRPr="00C5268A">
        <w:rPr>
          <w:rFonts w:ascii="Arial" w:hAnsi="Arial" w:cs="Arial"/>
          <w:lang w:val="en-GB"/>
        </w:rPr>
        <w:t>properly facilitate the process as we had not learned through the process of ‘doing’ (portfolio assessment) ourselves.</w:t>
      </w:r>
      <w:r w:rsidR="008D7092" w:rsidRPr="00C5268A">
        <w:rPr>
          <w:rFonts w:ascii="Arial" w:hAnsi="Arial" w:cs="Arial"/>
          <w:lang w:val="en-GB"/>
        </w:rPr>
        <w:t xml:space="preserve"> </w:t>
      </w:r>
      <w:r w:rsidR="001A7237" w:rsidRPr="00C5268A">
        <w:rPr>
          <w:rFonts w:ascii="Arial" w:hAnsi="Arial" w:cs="Arial"/>
          <w:lang w:val="en-GB"/>
        </w:rPr>
        <w:t xml:space="preserve">It is </w:t>
      </w:r>
      <w:r w:rsidR="004628AC" w:rsidRPr="00C5268A">
        <w:rPr>
          <w:rFonts w:ascii="Arial" w:hAnsi="Arial" w:cs="Arial"/>
          <w:lang w:val="en-GB"/>
        </w:rPr>
        <w:t xml:space="preserve">therefore </w:t>
      </w:r>
      <w:r w:rsidR="001A7237" w:rsidRPr="00C5268A">
        <w:rPr>
          <w:rFonts w:ascii="Arial" w:hAnsi="Arial" w:cs="Arial"/>
          <w:lang w:val="en-GB"/>
        </w:rPr>
        <w:t xml:space="preserve">suggested that until such a process is undertaken </w:t>
      </w:r>
      <w:r w:rsidR="004628AC" w:rsidRPr="00C5268A">
        <w:rPr>
          <w:rFonts w:ascii="Arial" w:hAnsi="Arial" w:cs="Arial"/>
          <w:lang w:val="en-GB"/>
        </w:rPr>
        <w:t>by academics this form of assessment is</w:t>
      </w:r>
      <w:r w:rsidR="001A7237" w:rsidRPr="00C5268A">
        <w:rPr>
          <w:rFonts w:ascii="Arial" w:hAnsi="Arial" w:cs="Arial"/>
          <w:lang w:val="en-GB"/>
        </w:rPr>
        <w:t xml:space="preserve"> unlikely t</w:t>
      </w:r>
      <w:r w:rsidR="0030611B" w:rsidRPr="00C5268A">
        <w:rPr>
          <w:rFonts w:ascii="Arial" w:hAnsi="Arial" w:cs="Arial"/>
          <w:lang w:val="en-GB"/>
        </w:rPr>
        <w:t xml:space="preserve">o be effective </w:t>
      </w:r>
      <w:r w:rsidR="004628AC" w:rsidRPr="00C5268A">
        <w:rPr>
          <w:rFonts w:ascii="Arial" w:hAnsi="Arial" w:cs="Arial"/>
          <w:lang w:val="en-GB"/>
        </w:rPr>
        <w:t>as academics will not themselves have learned the skills of how to facilitate student learning within this form of assessment.</w:t>
      </w:r>
    </w:p>
    <w:p w:rsidR="001A7237" w:rsidRPr="00C5268A" w:rsidRDefault="008D7092" w:rsidP="00C5268A">
      <w:pPr>
        <w:jc w:val="both"/>
        <w:rPr>
          <w:rFonts w:ascii="Arial" w:hAnsi="Arial" w:cs="Arial"/>
          <w:lang w:val="en-GB"/>
        </w:rPr>
      </w:pPr>
      <w:r w:rsidRPr="00C5268A">
        <w:rPr>
          <w:rFonts w:ascii="Arial" w:hAnsi="Arial" w:cs="Arial"/>
          <w:lang w:val="en-GB"/>
        </w:rPr>
        <w:t xml:space="preserve">Is it likely that academics would be willing to subject themselves to this form of assessment? </w:t>
      </w:r>
      <w:r w:rsidR="00C66C4B" w:rsidRPr="00C5268A">
        <w:rPr>
          <w:rFonts w:ascii="Arial" w:hAnsi="Arial" w:cs="Arial"/>
          <w:lang w:val="en-GB"/>
        </w:rPr>
        <w:t xml:space="preserve">Evidence provides that for teaching to be effective </w:t>
      </w:r>
      <w:r w:rsidR="001A7237" w:rsidRPr="00C5268A">
        <w:rPr>
          <w:rFonts w:ascii="Arial" w:hAnsi="Arial" w:cs="Arial"/>
          <w:lang w:val="en-GB"/>
        </w:rPr>
        <w:t>“reflection that uses theoretical models as an analytic tool produces qualitatively different insights into teaching and learning and provides teachers with the conceptual tools to establish links between what they know and what they do”</w:t>
      </w:r>
      <w:r w:rsidRPr="00C5268A">
        <w:rPr>
          <w:rFonts w:ascii="Arial" w:hAnsi="Arial" w:cs="Arial"/>
          <w:lang w:val="en-GB"/>
        </w:rPr>
        <w:t xml:space="preserve"> (Winkler 2002: </w:t>
      </w:r>
      <w:r w:rsidR="00C66C4B" w:rsidRPr="00C5268A">
        <w:rPr>
          <w:rFonts w:ascii="Arial" w:hAnsi="Arial" w:cs="Arial"/>
          <w:lang w:val="en-GB"/>
        </w:rPr>
        <w:t>439</w:t>
      </w:r>
      <w:r w:rsidR="001A7237" w:rsidRPr="00C5268A">
        <w:rPr>
          <w:rFonts w:ascii="Arial" w:hAnsi="Arial" w:cs="Arial"/>
          <w:lang w:val="en-GB"/>
        </w:rPr>
        <w:t>)</w:t>
      </w:r>
      <w:r w:rsidR="00C66C4B" w:rsidRPr="00C5268A">
        <w:rPr>
          <w:rFonts w:ascii="Arial" w:hAnsi="Arial" w:cs="Arial"/>
          <w:lang w:val="en-GB"/>
        </w:rPr>
        <w:t>.</w:t>
      </w:r>
      <w:r w:rsidR="001A7237" w:rsidRPr="00C5268A">
        <w:rPr>
          <w:rFonts w:ascii="Arial" w:hAnsi="Arial" w:cs="Arial"/>
          <w:lang w:val="en-GB"/>
        </w:rPr>
        <w:t xml:space="preserve"> </w:t>
      </w:r>
      <w:r w:rsidR="0030611B" w:rsidRPr="00C5268A">
        <w:rPr>
          <w:rFonts w:ascii="Arial" w:hAnsi="Arial" w:cs="Arial"/>
          <w:lang w:val="en-GB"/>
        </w:rPr>
        <w:t>Rogers observes how “reflective learning encourages active engagement between the self and the world around” (2002; 93).</w:t>
      </w:r>
      <w:r w:rsidRPr="00C5268A">
        <w:rPr>
          <w:rFonts w:ascii="Arial" w:hAnsi="Arial" w:cs="Arial"/>
          <w:lang w:val="en-GB"/>
        </w:rPr>
        <w:t xml:space="preserve"> Similarly,</w:t>
      </w:r>
      <w:r w:rsidR="001A7237" w:rsidRPr="00C5268A">
        <w:rPr>
          <w:rFonts w:ascii="Arial" w:hAnsi="Arial" w:cs="Arial"/>
          <w:lang w:val="en-GB"/>
        </w:rPr>
        <w:t xml:space="preserve"> Biggs and Tang (2007: 50) provide that “learning through reflection is a core part of reflective teaching”. So why </w:t>
      </w:r>
      <w:r w:rsidRPr="00C5268A">
        <w:rPr>
          <w:rFonts w:ascii="Arial" w:hAnsi="Arial" w:cs="Arial"/>
          <w:lang w:val="en-GB"/>
        </w:rPr>
        <w:t>is it that historically most</w:t>
      </w:r>
      <w:r w:rsidR="001A7237" w:rsidRPr="00C5268A">
        <w:rPr>
          <w:rFonts w:ascii="Arial" w:hAnsi="Arial" w:cs="Arial"/>
          <w:lang w:val="en-GB"/>
        </w:rPr>
        <w:t xml:space="preserve"> academics who teach in higher education</w:t>
      </w:r>
      <w:r w:rsidRPr="00C5268A">
        <w:rPr>
          <w:rFonts w:ascii="Arial" w:hAnsi="Arial" w:cs="Arial"/>
          <w:lang w:val="en-GB"/>
        </w:rPr>
        <w:t xml:space="preserve"> have</w:t>
      </w:r>
      <w:r w:rsidR="001A7237" w:rsidRPr="00C5268A">
        <w:rPr>
          <w:rFonts w:ascii="Arial" w:hAnsi="Arial" w:cs="Arial"/>
          <w:lang w:val="en-GB"/>
        </w:rPr>
        <w:t xml:space="preserve"> not </w:t>
      </w:r>
      <w:r w:rsidRPr="00C5268A">
        <w:rPr>
          <w:rFonts w:ascii="Arial" w:hAnsi="Arial" w:cs="Arial"/>
          <w:lang w:val="en-GB"/>
        </w:rPr>
        <w:t xml:space="preserve">been </w:t>
      </w:r>
      <w:r w:rsidR="001A7237" w:rsidRPr="00C5268A">
        <w:rPr>
          <w:rFonts w:ascii="Arial" w:hAnsi="Arial" w:cs="Arial"/>
          <w:lang w:val="en-GB"/>
        </w:rPr>
        <w:t xml:space="preserve">subject to any form of assessment of their own teaching methods excepting in-house </w:t>
      </w:r>
      <w:r w:rsidR="0030611B" w:rsidRPr="00C5268A">
        <w:rPr>
          <w:rFonts w:ascii="Arial" w:hAnsi="Arial" w:cs="Arial"/>
          <w:lang w:val="en-GB"/>
        </w:rPr>
        <w:t>annual appraisal by colleagues?</w:t>
      </w:r>
    </w:p>
    <w:p w:rsidR="00E56397" w:rsidRPr="00C5268A" w:rsidRDefault="00EA4568" w:rsidP="00C5268A">
      <w:pPr>
        <w:jc w:val="both"/>
        <w:rPr>
          <w:rFonts w:ascii="Arial" w:hAnsi="Arial" w:cs="Arial"/>
          <w:lang w:val="en-GB"/>
        </w:rPr>
      </w:pPr>
      <w:r w:rsidRPr="00C5268A">
        <w:rPr>
          <w:rFonts w:ascii="Arial" w:hAnsi="Arial" w:cs="Arial"/>
          <w:lang w:val="en-GB"/>
        </w:rPr>
        <w:t>Evidence suggests there is</w:t>
      </w:r>
      <w:r w:rsidR="009269FC" w:rsidRPr="00C5268A">
        <w:rPr>
          <w:rFonts w:ascii="Arial" w:hAnsi="Arial" w:cs="Arial"/>
          <w:lang w:val="en-GB"/>
        </w:rPr>
        <w:t xml:space="preserve"> a logical relationship between diagnosed as opposed to the implicit intentions of lecturers and the teaching strategies they claim to adopt. Those who intend to transmit ‘pre-defined’ bodies of information (which it is contended in this paper should no-longer be the focus) adopt teacher-focused strategies. Those who believe in the conceptual development of students adopt student-focused strategies (</w:t>
      </w:r>
      <w:r w:rsidRPr="00C5268A">
        <w:rPr>
          <w:rFonts w:ascii="Arial" w:hAnsi="Arial" w:cs="Arial"/>
          <w:lang w:val="en-GB"/>
        </w:rPr>
        <w:t xml:space="preserve">Trigwell et al </w:t>
      </w:r>
      <w:r w:rsidR="009269FC" w:rsidRPr="00C5268A">
        <w:rPr>
          <w:rFonts w:ascii="Arial" w:hAnsi="Arial" w:cs="Arial"/>
          <w:lang w:val="en-GB"/>
        </w:rPr>
        <w:t xml:space="preserve">1994).Similarly there is evidence to suggest that there are links between the ways teachers approach their teaching and students approach their learning (Trigwell et al 1997: 57). Related studies determine that student awareness of their learning environment is related to the approach to learning they adopt because </w:t>
      </w:r>
      <w:r w:rsidR="00BB78EA" w:rsidRPr="00C5268A">
        <w:rPr>
          <w:rFonts w:ascii="Arial" w:hAnsi="Arial" w:cs="Arial"/>
          <w:lang w:val="en-GB"/>
        </w:rPr>
        <w:t>approaches to learning are relational (Ramsden: 1992). In identifying teacher-centred and student-centred approaches to teaching it is considered that the more active students are in their learning situation, the more student centred the teaching orientation is likely to be (Tigelaar et al 2004: 254). It is contended a large proportion of academics continue to operate within the teacher-focused framework merely transmitting the pre-defined bodies of knowledge using various ‘chalk and talk’</w:t>
      </w:r>
      <w:r w:rsidR="00B51E88" w:rsidRPr="00C5268A">
        <w:rPr>
          <w:rFonts w:ascii="Arial" w:hAnsi="Arial" w:cs="Arial"/>
          <w:lang w:val="en-GB"/>
        </w:rPr>
        <w:t xml:space="preserve"> methods</w:t>
      </w:r>
      <w:r w:rsidRPr="00C5268A">
        <w:rPr>
          <w:rFonts w:ascii="Arial" w:hAnsi="Arial" w:cs="Arial"/>
          <w:lang w:val="en-GB"/>
        </w:rPr>
        <w:t xml:space="preserve"> of teaching. </w:t>
      </w:r>
      <w:r w:rsidR="00B51E88" w:rsidRPr="00C5268A">
        <w:rPr>
          <w:rFonts w:ascii="Arial" w:hAnsi="Arial" w:cs="Arial"/>
          <w:lang w:val="en-GB"/>
        </w:rPr>
        <w:t>T</w:t>
      </w:r>
      <w:r w:rsidR="00BB78EA" w:rsidRPr="00C5268A">
        <w:rPr>
          <w:rFonts w:ascii="Arial" w:hAnsi="Arial" w:cs="Arial"/>
          <w:lang w:val="en-GB"/>
        </w:rPr>
        <w:t>hese metho</w:t>
      </w:r>
      <w:r w:rsidRPr="00C5268A">
        <w:rPr>
          <w:rFonts w:ascii="Arial" w:hAnsi="Arial" w:cs="Arial"/>
          <w:lang w:val="en-GB"/>
        </w:rPr>
        <w:t>ds</w:t>
      </w:r>
      <w:r w:rsidR="00BB78EA" w:rsidRPr="00C5268A">
        <w:rPr>
          <w:rFonts w:ascii="Arial" w:hAnsi="Arial" w:cs="Arial"/>
          <w:lang w:val="en-GB"/>
        </w:rPr>
        <w:t xml:space="preserve"> continue to encourage passivity in the student audience. </w:t>
      </w:r>
      <w:r w:rsidR="00B51E88" w:rsidRPr="00C5268A">
        <w:rPr>
          <w:rFonts w:ascii="Arial" w:hAnsi="Arial" w:cs="Arial"/>
          <w:lang w:val="en-GB"/>
        </w:rPr>
        <w:t>It is u</w:t>
      </w:r>
      <w:r w:rsidR="006500E3" w:rsidRPr="00C5268A">
        <w:rPr>
          <w:rFonts w:ascii="Arial" w:hAnsi="Arial" w:cs="Arial"/>
          <w:lang w:val="en-GB"/>
        </w:rPr>
        <w:t xml:space="preserve">nfortunate that evidence suggests </w:t>
      </w:r>
      <w:r w:rsidR="00D25134" w:rsidRPr="00C5268A">
        <w:rPr>
          <w:rFonts w:ascii="Arial" w:hAnsi="Arial" w:cs="Arial"/>
          <w:lang w:val="en-GB"/>
        </w:rPr>
        <w:t>this</w:t>
      </w:r>
      <w:r w:rsidR="00B45B19" w:rsidRPr="00C5268A">
        <w:rPr>
          <w:rFonts w:ascii="Arial" w:hAnsi="Arial" w:cs="Arial"/>
          <w:lang w:val="en-GB"/>
        </w:rPr>
        <w:t xml:space="preserve"> ‘objectivist’ model of teaching </w:t>
      </w:r>
      <w:r w:rsidR="00D25134" w:rsidRPr="00C5268A">
        <w:rPr>
          <w:rFonts w:ascii="Arial" w:hAnsi="Arial" w:cs="Arial"/>
          <w:lang w:val="en-GB"/>
        </w:rPr>
        <w:t xml:space="preserve">(with associated </w:t>
      </w:r>
      <w:r w:rsidR="00B45B19" w:rsidRPr="00C5268A">
        <w:rPr>
          <w:rFonts w:ascii="Arial" w:hAnsi="Arial" w:cs="Arial"/>
          <w:lang w:val="en-GB"/>
        </w:rPr>
        <w:t>links to pos</w:t>
      </w:r>
      <w:r w:rsidR="00D25134" w:rsidRPr="00C5268A">
        <w:rPr>
          <w:rFonts w:ascii="Arial" w:hAnsi="Arial" w:cs="Arial"/>
          <w:lang w:val="en-GB"/>
        </w:rPr>
        <w:t>itivism concerned with quanti</w:t>
      </w:r>
      <w:r w:rsidR="00B45B19" w:rsidRPr="00C5268A">
        <w:rPr>
          <w:rFonts w:ascii="Arial" w:hAnsi="Arial" w:cs="Arial"/>
          <w:lang w:val="en-GB"/>
        </w:rPr>
        <w:t>t</w:t>
      </w:r>
      <w:r w:rsidR="00D25134" w:rsidRPr="00C5268A">
        <w:rPr>
          <w:rFonts w:ascii="Arial" w:hAnsi="Arial" w:cs="Arial"/>
          <w:lang w:val="en-GB"/>
        </w:rPr>
        <w:t>ative</w:t>
      </w:r>
      <w:r w:rsidR="00B45B19" w:rsidRPr="00C5268A">
        <w:rPr>
          <w:rFonts w:ascii="Arial" w:hAnsi="Arial" w:cs="Arial"/>
          <w:lang w:val="en-GB"/>
        </w:rPr>
        <w:t xml:space="preserve"> measurement</w:t>
      </w:r>
      <w:r w:rsidR="00D25134" w:rsidRPr="00C5268A">
        <w:rPr>
          <w:rFonts w:ascii="Arial" w:hAnsi="Arial" w:cs="Arial"/>
          <w:lang w:val="en-GB"/>
        </w:rPr>
        <w:t xml:space="preserve"> of outcomes)</w:t>
      </w:r>
      <w:r w:rsidR="006500E3" w:rsidRPr="00C5268A">
        <w:rPr>
          <w:rFonts w:ascii="Arial" w:hAnsi="Arial" w:cs="Arial"/>
          <w:lang w:val="en-GB"/>
        </w:rPr>
        <w:t xml:space="preserve"> is still ver</w:t>
      </w:r>
      <w:r w:rsidR="00D25134" w:rsidRPr="00C5268A">
        <w:rPr>
          <w:rFonts w:ascii="Arial" w:hAnsi="Arial" w:cs="Arial"/>
          <w:lang w:val="en-GB"/>
        </w:rPr>
        <w:t xml:space="preserve">y much alive in higher education. Adopting this model of teaching, academics are implicitly likely to be more concerned with delivering quantities of materials’ which can be summatively assessed and measured (Biggs 1996: 27 portfolio). It is </w:t>
      </w:r>
      <w:r w:rsidR="008D7092" w:rsidRPr="00C5268A">
        <w:rPr>
          <w:rFonts w:ascii="Arial" w:hAnsi="Arial" w:cs="Arial"/>
          <w:lang w:val="en-GB"/>
        </w:rPr>
        <w:t>also suggested</w:t>
      </w:r>
      <w:r w:rsidR="00D25134" w:rsidRPr="00C5268A">
        <w:rPr>
          <w:rFonts w:ascii="Arial" w:hAnsi="Arial" w:cs="Arial"/>
          <w:lang w:val="en-GB"/>
        </w:rPr>
        <w:t xml:space="preserve"> that </w:t>
      </w:r>
      <w:r w:rsidR="00110525" w:rsidRPr="00C5268A">
        <w:rPr>
          <w:rFonts w:ascii="Arial" w:hAnsi="Arial" w:cs="Arial"/>
          <w:lang w:val="en-GB"/>
        </w:rPr>
        <w:t xml:space="preserve">as </w:t>
      </w:r>
      <w:r w:rsidR="00D25134" w:rsidRPr="00C5268A">
        <w:rPr>
          <w:rFonts w:ascii="Arial" w:hAnsi="Arial" w:cs="Arial"/>
          <w:lang w:val="en-GB"/>
        </w:rPr>
        <w:t>long as</w:t>
      </w:r>
      <w:r w:rsidR="006500E3" w:rsidRPr="00C5268A">
        <w:rPr>
          <w:rFonts w:ascii="Arial" w:hAnsi="Arial" w:cs="Arial"/>
          <w:lang w:val="en-GB"/>
        </w:rPr>
        <w:t xml:space="preserve"> lecturers continue to see themselves as a breed apart from teachers in </w:t>
      </w:r>
      <w:r w:rsidRPr="00C5268A">
        <w:rPr>
          <w:rFonts w:ascii="Arial" w:hAnsi="Arial" w:cs="Arial"/>
          <w:lang w:val="en-GB"/>
        </w:rPr>
        <w:t>furth</w:t>
      </w:r>
      <w:r w:rsidR="00110525" w:rsidRPr="00C5268A">
        <w:rPr>
          <w:rFonts w:ascii="Arial" w:hAnsi="Arial" w:cs="Arial"/>
          <w:lang w:val="en-GB"/>
        </w:rPr>
        <w:t>er education</w:t>
      </w:r>
      <w:r w:rsidR="00D25134" w:rsidRPr="00C5268A">
        <w:rPr>
          <w:rFonts w:ascii="Arial" w:hAnsi="Arial" w:cs="Arial"/>
          <w:lang w:val="en-GB"/>
        </w:rPr>
        <w:t>,</w:t>
      </w:r>
      <w:r w:rsidR="00110525" w:rsidRPr="00C5268A">
        <w:rPr>
          <w:rFonts w:ascii="Arial" w:hAnsi="Arial" w:cs="Arial"/>
          <w:lang w:val="en-GB"/>
        </w:rPr>
        <w:t xml:space="preserve"> hardly consider</w:t>
      </w:r>
      <w:r w:rsidR="00D25134" w:rsidRPr="00C5268A">
        <w:rPr>
          <w:rFonts w:ascii="Arial" w:hAnsi="Arial" w:cs="Arial"/>
          <w:lang w:val="en-GB"/>
        </w:rPr>
        <w:t>ing</w:t>
      </w:r>
      <w:r w:rsidR="00F65177" w:rsidRPr="00C5268A">
        <w:rPr>
          <w:rFonts w:ascii="Arial" w:hAnsi="Arial" w:cs="Arial"/>
          <w:lang w:val="en-GB"/>
        </w:rPr>
        <w:t xml:space="preserve"> them</w:t>
      </w:r>
      <w:r w:rsidR="00F07944" w:rsidRPr="00C5268A">
        <w:rPr>
          <w:rFonts w:ascii="Arial" w:hAnsi="Arial" w:cs="Arial"/>
          <w:lang w:val="en-GB"/>
        </w:rPr>
        <w:t xml:space="preserve">selves teachers at all </w:t>
      </w:r>
      <w:r w:rsidR="00110525" w:rsidRPr="00C5268A">
        <w:rPr>
          <w:rFonts w:ascii="Arial" w:hAnsi="Arial" w:cs="Arial"/>
          <w:lang w:val="en-GB"/>
        </w:rPr>
        <w:t>(</w:t>
      </w:r>
      <w:r w:rsidR="00D25134" w:rsidRPr="00C5268A">
        <w:rPr>
          <w:rFonts w:ascii="Arial" w:hAnsi="Arial" w:cs="Arial"/>
          <w:lang w:val="en-GB"/>
        </w:rPr>
        <w:t xml:space="preserve">Becker </w:t>
      </w:r>
      <w:r w:rsidR="00110525" w:rsidRPr="00C5268A">
        <w:rPr>
          <w:rFonts w:ascii="Arial" w:hAnsi="Arial" w:cs="Arial"/>
          <w:lang w:val="en-GB"/>
        </w:rPr>
        <w:t>1989)</w:t>
      </w:r>
      <w:r w:rsidR="00B51E88" w:rsidRPr="00C5268A">
        <w:rPr>
          <w:rFonts w:ascii="Arial" w:hAnsi="Arial" w:cs="Arial"/>
          <w:lang w:val="en-GB"/>
        </w:rPr>
        <w:t xml:space="preserve"> knowledge </w:t>
      </w:r>
      <w:r w:rsidR="00F65177" w:rsidRPr="00C5268A">
        <w:rPr>
          <w:rFonts w:ascii="Arial" w:hAnsi="Arial" w:cs="Arial"/>
          <w:lang w:val="en-GB"/>
        </w:rPr>
        <w:t>will remain</w:t>
      </w:r>
      <w:r w:rsidR="00F07944" w:rsidRPr="00C5268A">
        <w:rPr>
          <w:rFonts w:ascii="Arial" w:hAnsi="Arial" w:cs="Arial"/>
          <w:lang w:val="en-GB"/>
        </w:rPr>
        <w:t xml:space="preserve"> decontextualised</w:t>
      </w:r>
      <w:r w:rsidR="00F65177" w:rsidRPr="00C5268A">
        <w:rPr>
          <w:rFonts w:ascii="Arial" w:hAnsi="Arial" w:cs="Arial"/>
          <w:lang w:val="en-GB"/>
        </w:rPr>
        <w:t>. Decontextualised knowledge</w:t>
      </w:r>
      <w:r w:rsidR="00D44381" w:rsidRPr="00C5268A">
        <w:rPr>
          <w:rFonts w:ascii="Arial" w:hAnsi="Arial" w:cs="Arial"/>
          <w:lang w:val="en-GB"/>
        </w:rPr>
        <w:t xml:space="preserve"> is learned, tested and applied more or less independently of particular contexts. </w:t>
      </w:r>
      <w:r w:rsidR="00F65177" w:rsidRPr="00C5268A">
        <w:rPr>
          <w:rFonts w:ascii="Arial" w:hAnsi="Arial" w:cs="Arial"/>
          <w:lang w:val="en-GB"/>
        </w:rPr>
        <w:t>Such approaches to teaching lead to assessment policies and practice which distort the quality o</w:t>
      </w:r>
      <w:r w:rsidR="008D7092" w:rsidRPr="00C5268A">
        <w:rPr>
          <w:rFonts w:ascii="Arial" w:hAnsi="Arial" w:cs="Arial"/>
          <w:lang w:val="en-GB"/>
        </w:rPr>
        <w:t>f teaching and learning (Biggs 1996:348</w:t>
      </w:r>
      <w:r w:rsidRPr="00C5268A">
        <w:rPr>
          <w:rFonts w:ascii="Arial" w:hAnsi="Arial" w:cs="Arial"/>
          <w:lang w:val="en-GB"/>
        </w:rPr>
        <w:t>). These</w:t>
      </w:r>
      <w:r w:rsidR="00F65177" w:rsidRPr="00C5268A">
        <w:rPr>
          <w:rFonts w:ascii="Arial" w:hAnsi="Arial" w:cs="Arial"/>
          <w:lang w:val="en-GB"/>
        </w:rPr>
        <w:t xml:space="preserve"> approaches and practice are in direct conflict with the underlying </w:t>
      </w:r>
      <w:r w:rsidR="00D44381" w:rsidRPr="00C5268A">
        <w:rPr>
          <w:rFonts w:ascii="Arial" w:hAnsi="Arial" w:cs="Arial"/>
          <w:lang w:val="en-GB"/>
        </w:rPr>
        <w:t xml:space="preserve">principles of </w:t>
      </w:r>
      <w:r w:rsidR="00F65177" w:rsidRPr="00C5268A">
        <w:rPr>
          <w:rFonts w:ascii="Arial" w:hAnsi="Arial" w:cs="Arial"/>
          <w:lang w:val="en-GB"/>
        </w:rPr>
        <w:t>portfolio assessment. We cannot facilitate</w:t>
      </w:r>
      <w:r w:rsidR="00D44381" w:rsidRPr="00C5268A">
        <w:rPr>
          <w:rFonts w:ascii="Arial" w:hAnsi="Arial" w:cs="Arial"/>
          <w:lang w:val="en-GB"/>
        </w:rPr>
        <w:t xml:space="preserve"> the process of teaching students how to find out </w:t>
      </w:r>
      <w:r w:rsidR="00B45B19" w:rsidRPr="00C5268A">
        <w:rPr>
          <w:rFonts w:ascii="Arial" w:hAnsi="Arial" w:cs="Arial"/>
          <w:lang w:val="en-GB"/>
        </w:rPr>
        <w:t xml:space="preserve">for themselves </w:t>
      </w:r>
      <w:r w:rsidR="00F65177" w:rsidRPr="00C5268A">
        <w:rPr>
          <w:rFonts w:ascii="Arial" w:hAnsi="Arial" w:cs="Arial"/>
          <w:lang w:val="en-GB"/>
        </w:rPr>
        <w:t>whereby they can evidence their</w:t>
      </w:r>
      <w:r w:rsidR="00B45B19" w:rsidRPr="00C5268A">
        <w:rPr>
          <w:rFonts w:ascii="Arial" w:hAnsi="Arial" w:cs="Arial"/>
          <w:lang w:val="en-GB"/>
        </w:rPr>
        <w:t xml:space="preserve"> ‘performance of understanding’ </w:t>
      </w:r>
      <w:r w:rsidR="00025CF5" w:rsidRPr="00C5268A">
        <w:rPr>
          <w:rFonts w:ascii="Arial" w:hAnsi="Arial" w:cs="Arial"/>
          <w:lang w:val="en-GB"/>
        </w:rPr>
        <w:t>in that</w:t>
      </w:r>
      <w:r w:rsidR="00D44381" w:rsidRPr="00C5268A">
        <w:rPr>
          <w:rFonts w:ascii="Arial" w:hAnsi="Arial" w:cs="Arial"/>
          <w:lang w:val="en-GB"/>
        </w:rPr>
        <w:t xml:space="preserve"> “knowledge which has </w:t>
      </w:r>
      <w:r w:rsidR="00B45B19" w:rsidRPr="00C5268A">
        <w:rPr>
          <w:rFonts w:ascii="Arial" w:hAnsi="Arial" w:cs="Arial"/>
          <w:lang w:val="en-GB"/>
        </w:rPr>
        <w:t>been understood</w:t>
      </w:r>
      <w:r w:rsidR="00D44381" w:rsidRPr="00C5268A">
        <w:rPr>
          <w:rFonts w:ascii="Arial" w:hAnsi="Arial" w:cs="Arial"/>
          <w:lang w:val="en-GB"/>
        </w:rPr>
        <w:t xml:space="preserve"> cannot be de-understood”</w:t>
      </w:r>
      <w:r w:rsidR="00B45B19" w:rsidRPr="00C5268A">
        <w:rPr>
          <w:rFonts w:ascii="Arial" w:hAnsi="Arial" w:cs="Arial"/>
          <w:lang w:val="en-GB"/>
        </w:rPr>
        <w:t xml:space="preserve"> (Biggs and Tang 2007: 9)</w:t>
      </w:r>
      <w:r w:rsidR="00F65177" w:rsidRPr="00C5268A">
        <w:rPr>
          <w:rFonts w:ascii="Arial" w:hAnsi="Arial" w:cs="Arial"/>
          <w:lang w:val="en-GB"/>
        </w:rPr>
        <w:t xml:space="preserve"> when academics </w:t>
      </w:r>
      <w:r w:rsidR="00106152" w:rsidRPr="00C5268A">
        <w:rPr>
          <w:rFonts w:ascii="Arial" w:hAnsi="Arial" w:cs="Arial"/>
          <w:lang w:val="en-GB"/>
        </w:rPr>
        <w:t xml:space="preserve">continue to </w:t>
      </w:r>
      <w:r w:rsidR="00F65177" w:rsidRPr="00C5268A">
        <w:rPr>
          <w:rFonts w:ascii="Arial" w:hAnsi="Arial" w:cs="Arial"/>
          <w:lang w:val="en-GB"/>
        </w:rPr>
        <w:t>focus on practice</w:t>
      </w:r>
      <w:r w:rsidR="00106152" w:rsidRPr="00C5268A">
        <w:rPr>
          <w:rFonts w:ascii="Arial" w:hAnsi="Arial" w:cs="Arial"/>
          <w:lang w:val="en-GB"/>
        </w:rPr>
        <w:t>s which</w:t>
      </w:r>
      <w:r w:rsidR="00F65177" w:rsidRPr="00C5268A">
        <w:rPr>
          <w:rFonts w:ascii="Arial" w:hAnsi="Arial" w:cs="Arial"/>
          <w:lang w:val="en-GB"/>
        </w:rPr>
        <w:t xml:space="preserve"> </w:t>
      </w:r>
      <w:r w:rsidR="00106152" w:rsidRPr="00C5268A">
        <w:rPr>
          <w:rFonts w:ascii="Arial" w:hAnsi="Arial" w:cs="Arial"/>
          <w:lang w:val="en-GB"/>
        </w:rPr>
        <w:t>promo</w:t>
      </w:r>
      <w:r w:rsidR="00D07DC2" w:rsidRPr="00C5268A">
        <w:rPr>
          <w:rFonts w:ascii="Arial" w:hAnsi="Arial" w:cs="Arial"/>
          <w:lang w:val="en-GB"/>
        </w:rPr>
        <w:t>te</w:t>
      </w:r>
      <w:r w:rsidR="00106152" w:rsidRPr="00C5268A">
        <w:rPr>
          <w:rFonts w:ascii="Arial" w:hAnsi="Arial" w:cs="Arial"/>
          <w:lang w:val="en-GB"/>
        </w:rPr>
        <w:t xml:space="preserve"> rote learning.</w:t>
      </w:r>
    </w:p>
    <w:p w:rsidR="00025CF5" w:rsidRPr="00C5268A" w:rsidRDefault="00025CF5" w:rsidP="00C5268A">
      <w:pPr>
        <w:jc w:val="both"/>
        <w:rPr>
          <w:rFonts w:ascii="Arial" w:hAnsi="Arial" w:cs="Arial"/>
          <w:lang w:val="en-GB"/>
        </w:rPr>
      </w:pPr>
      <w:r w:rsidRPr="00C5268A">
        <w:rPr>
          <w:rFonts w:ascii="Arial" w:hAnsi="Arial" w:cs="Arial"/>
          <w:lang w:val="en-GB"/>
        </w:rPr>
        <w:t>The purpose of this</w:t>
      </w:r>
      <w:r w:rsidR="006500E3" w:rsidRPr="00C5268A">
        <w:rPr>
          <w:rFonts w:ascii="Arial" w:hAnsi="Arial" w:cs="Arial"/>
          <w:lang w:val="en-GB"/>
        </w:rPr>
        <w:t xml:space="preserve"> paper</w:t>
      </w:r>
      <w:r w:rsidR="008D7092" w:rsidRPr="00C5268A">
        <w:rPr>
          <w:rFonts w:ascii="Arial" w:hAnsi="Arial" w:cs="Arial"/>
          <w:lang w:val="en-GB"/>
        </w:rPr>
        <w:t xml:space="preserve"> is to raise a debate around an</w:t>
      </w:r>
      <w:r w:rsidRPr="00C5268A">
        <w:rPr>
          <w:rFonts w:ascii="Arial" w:hAnsi="Arial" w:cs="Arial"/>
          <w:lang w:val="en-GB"/>
        </w:rPr>
        <w:t xml:space="preserve"> assertion which claims that</w:t>
      </w:r>
      <w:r w:rsidR="006500E3" w:rsidRPr="00C5268A">
        <w:rPr>
          <w:rFonts w:ascii="Arial" w:hAnsi="Arial" w:cs="Arial"/>
          <w:lang w:val="en-GB"/>
        </w:rPr>
        <w:t xml:space="preserve"> only when </w:t>
      </w:r>
      <w:r w:rsidR="00BB78EA" w:rsidRPr="00C5268A">
        <w:rPr>
          <w:rFonts w:ascii="Arial" w:hAnsi="Arial" w:cs="Arial"/>
          <w:lang w:val="en-GB"/>
        </w:rPr>
        <w:t xml:space="preserve">academics ‘critically confront’ </w:t>
      </w:r>
      <w:r w:rsidR="00B51E88" w:rsidRPr="00C5268A">
        <w:rPr>
          <w:rFonts w:ascii="Arial" w:hAnsi="Arial" w:cs="Arial"/>
          <w:lang w:val="en-GB"/>
        </w:rPr>
        <w:t xml:space="preserve">the </w:t>
      </w:r>
      <w:r w:rsidR="00BB78EA" w:rsidRPr="00C5268A">
        <w:rPr>
          <w:rFonts w:ascii="Arial" w:hAnsi="Arial" w:cs="Arial"/>
          <w:lang w:val="en-GB"/>
        </w:rPr>
        <w:t>rationale for their</w:t>
      </w:r>
      <w:r w:rsidR="006500E3" w:rsidRPr="00C5268A">
        <w:rPr>
          <w:rFonts w:ascii="Arial" w:hAnsi="Arial" w:cs="Arial"/>
          <w:lang w:val="en-GB"/>
        </w:rPr>
        <w:t xml:space="preserve"> own</w:t>
      </w:r>
      <w:r w:rsidR="00BB78EA" w:rsidRPr="00C5268A">
        <w:rPr>
          <w:rFonts w:ascii="Arial" w:hAnsi="Arial" w:cs="Arial"/>
          <w:lang w:val="en-GB"/>
        </w:rPr>
        <w:t xml:space="preserve"> teaching</w:t>
      </w:r>
      <w:r w:rsidR="006500E3" w:rsidRPr="00C5268A">
        <w:rPr>
          <w:rFonts w:ascii="Arial" w:hAnsi="Arial" w:cs="Arial"/>
          <w:lang w:val="en-GB"/>
        </w:rPr>
        <w:t xml:space="preserve"> practices</w:t>
      </w:r>
      <w:r w:rsidR="00110525" w:rsidRPr="00C5268A">
        <w:rPr>
          <w:rFonts w:ascii="Arial" w:hAnsi="Arial" w:cs="Arial"/>
          <w:lang w:val="en-GB"/>
        </w:rPr>
        <w:t xml:space="preserve"> will we start</w:t>
      </w:r>
      <w:r w:rsidR="006500E3" w:rsidRPr="00C5268A">
        <w:rPr>
          <w:rFonts w:ascii="Arial" w:hAnsi="Arial" w:cs="Arial"/>
          <w:lang w:val="en-GB"/>
        </w:rPr>
        <w:t xml:space="preserve"> to see </w:t>
      </w:r>
      <w:r w:rsidR="00B51E88" w:rsidRPr="00C5268A">
        <w:rPr>
          <w:rFonts w:ascii="Arial" w:hAnsi="Arial" w:cs="Arial"/>
          <w:lang w:val="en-GB"/>
        </w:rPr>
        <w:t>a</w:t>
      </w:r>
      <w:r w:rsidR="006500E3" w:rsidRPr="00C5268A">
        <w:rPr>
          <w:rFonts w:ascii="Arial" w:hAnsi="Arial" w:cs="Arial"/>
          <w:lang w:val="en-GB"/>
        </w:rPr>
        <w:t xml:space="preserve"> shift </w:t>
      </w:r>
      <w:r w:rsidR="00BB78EA" w:rsidRPr="00C5268A">
        <w:rPr>
          <w:rFonts w:ascii="Arial" w:hAnsi="Arial" w:cs="Arial"/>
          <w:lang w:val="en-GB"/>
        </w:rPr>
        <w:t xml:space="preserve">from teacher to student </w:t>
      </w:r>
      <w:r w:rsidRPr="00C5268A">
        <w:rPr>
          <w:rFonts w:ascii="Arial" w:hAnsi="Arial" w:cs="Arial"/>
          <w:lang w:val="en-GB"/>
        </w:rPr>
        <w:t>focused strategies which I believe to be the essential requirement</w:t>
      </w:r>
      <w:r w:rsidR="006500E3" w:rsidRPr="00C5268A">
        <w:rPr>
          <w:rFonts w:ascii="Arial" w:hAnsi="Arial" w:cs="Arial"/>
          <w:lang w:val="en-GB"/>
        </w:rPr>
        <w:t xml:space="preserve"> </w:t>
      </w:r>
      <w:r w:rsidRPr="00C5268A">
        <w:rPr>
          <w:rFonts w:ascii="Arial" w:hAnsi="Arial" w:cs="Arial"/>
          <w:lang w:val="en-GB"/>
        </w:rPr>
        <w:t xml:space="preserve">for effective </w:t>
      </w:r>
      <w:r w:rsidR="006500E3" w:rsidRPr="00C5268A">
        <w:rPr>
          <w:rFonts w:ascii="Arial" w:hAnsi="Arial" w:cs="Arial"/>
          <w:lang w:val="en-GB"/>
        </w:rPr>
        <w:t xml:space="preserve">portfolio assessment </w:t>
      </w:r>
      <w:r w:rsidRPr="00C5268A">
        <w:rPr>
          <w:rFonts w:ascii="Arial" w:hAnsi="Arial" w:cs="Arial"/>
          <w:lang w:val="en-GB"/>
        </w:rPr>
        <w:t>of law students</w:t>
      </w:r>
      <w:r w:rsidR="006500E3" w:rsidRPr="00C5268A">
        <w:rPr>
          <w:rFonts w:ascii="Arial" w:hAnsi="Arial" w:cs="Arial"/>
          <w:lang w:val="en-GB"/>
        </w:rPr>
        <w:t>.</w:t>
      </w:r>
      <w:r w:rsidR="00B51E88" w:rsidRPr="00C5268A">
        <w:rPr>
          <w:rFonts w:ascii="Arial" w:hAnsi="Arial" w:cs="Arial"/>
          <w:lang w:val="en-GB"/>
        </w:rPr>
        <w:t xml:space="preserve">  This then raises the question as to whether </w:t>
      </w:r>
      <w:r w:rsidR="00E56397" w:rsidRPr="00C5268A">
        <w:rPr>
          <w:rFonts w:ascii="Arial" w:hAnsi="Arial" w:cs="Arial"/>
          <w:lang w:val="en-GB"/>
        </w:rPr>
        <w:t>there</w:t>
      </w:r>
      <w:r w:rsidR="00B51E88" w:rsidRPr="00C5268A">
        <w:rPr>
          <w:rFonts w:ascii="Arial" w:hAnsi="Arial" w:cs="Arial"/>
          <w:lang w:val="en-GB"/>
        </w:rPr>
        <w:t xml:space="preserve"> should be compulsory portfolio assessment</w:t>
      </w:r>
      <w:r w:rsidR="00E56397" w:rsidRPr="00C5268A">
        <w:rPr>
          <w:rFonts w:ascii="Arial" w:hAnsi="Arial" w:cs="Arial"/>
          <w:lang w:val="en-GB"/>
        </w:rPr>
        <w:t xml:space="preserve"> for all academics teaching in higher education </w:t>
      </w:r>
      <w:r w:rsidR="008D7092" w:rsidRPr="00C5268A">
        <w:rPr>
          <w:rFonts w:ascii="Arial" w:hAnsi="Arial" w:cs="Arial"/>
          <w:lang w:val="en-GB"/>
        </w:rPr>
        <w:t>to enable them to</w:t>
      </w:r>
      <w:r w:rsidR="00B51E88" w:rsidRPr="00C5268A">
        <w:rPr>
          <w:rFonts w:ascii="Arial" w:hAnsi="Arial" w:cs="Arial"/>
          <w:lang w:val="en-GB"/>
        </w:rPr>
        <w:t xml:space="preserve"> appraise</w:t>
      </w:r>
      <w:r w:rsidR="008D7092" w:rsidRPr="00C5268A">
        <w:rPr>
          <w:rFonts w:ascii="Arial" w:hAnsi="Arial" w:cs="Arial"/>
          <w:lang w:val="en-GB"/>
        </w:rPr>
        <w:t xml:space="preserve"> their practice through a process of reflection</w:t>
      </w:r>
      <w:r w:rsidR="00A644AD" w:rsidRPr="00C5268A">
        <w:rPr>
          <w:rFonts w:ascii="Arial" w:hAnsi="Arial" w:cs="Arial"/>
          <w:lang w:val="en-GB"/>
        </w:rPr>
        <w:t xml:space="preserve"> which would facilitate</w:t>
      </w:r>
      <w:r w:rsidRPr="00C5268A">
        <w:rPr>
          <w:rFonts w:ascii="Arial" w:hAnsi="Arial" w:cs="Arial"/>
          <w:lang w:val="en-GB"/>
        </w:rPr>
        <w:t xml:space="preserve"> critical</w:t>
      </w:r>
      <w:r w:rsidR="00B51E88" w:rsidRPr="00C5268A">
        <w:rPr>
          <w:rFonts w:ascii="Arial" w:hAnsi="Arial" w:cs="Arial"/>
          <w:lang w:val="en-GB"/>
        </w:rPr>
        <w:t xml:space="preserve"> </w:t>
      </w:r>
      <w:r w:rsidRPr="00C5268A">
        <w:rPr>
          <w:rFonts w:ascii="Arial" w:hAnsi="Arial" w:cs="Arial"/>
          <w:lang w:val="en-GB"/>
        </w:rPr>
        <w:t>insight into</w:t>
      </w:r>
      <w:r w:rsidR="00D07DC2" w:rsidRPr="00C5268A">
        <w:rPr>
          <w:rFonts w:ascii="Arial" w:hAnsi="Arial" w:cs="Arial"/>
          <w:lang w:val="en-GB"/>
        </w:rPr>
        <w:t xml:space="preserve"> held </w:t>
      </w:r>
      <w:r w:rsidR="00B51E88" w:rsidRPr="00C5268A">
        <w:rPr>
          <w:rFonts w:ascii="Arial" w:hAnsi="Arial" w:cs="Arial"/>
          <w:lang w:val="en-GB"/>
        </w:rPr>
        <w:t>beliefs a</w:t>
      </w:r>
      <w:r w:rsidR="00A644AD" w:rsidRPr="00C5268A">
        <w:rPr>
          <w:rFonts w:ascii="Arial" w:hAnsi="Arial" w:cs="Arial"/>
          <w:lang w:val="en-GB"/>
        </w:rPr>
        <w:t xml:space="preserve">nd values concerning personal rationale for </w:t>
      </w:r>
      <w:r w:rsidR="00D07DC2" w:rsidRPr="00C5268A">
        <w:rPr>
          <w:rFonts w:ascii="Arial" w:hAnsi="Arial" w:cs="Arial"/>
          <w:lang w:val="en-GB"/>
        </w:rPr>
        <w:t>teaching</w:t>
      </w:r>
      <w:r w:rsidR="00A644AD" w:rsidRPr="00C5268A">
        <w:rPr>
          <w:rFonts w:ascii="Arial" w:hAnsi="Arial" w:cs="Arial"/>
          <w:lang w:val="en-GB"/>
        </w:rPr>
        <w:t xml:space="preserve"> methods adopted</w:t>
      </w:r>
      <w:r w:rsidRPr="00C5268A">
        <w:rPr>
          <w:rFonts w:ascii="Arial" w:hAnsi="Arial" w:cs="Arial"/>
          <w:lang w:val="en-GB"/>
        </w:rPr>
        <w:t>.</w:t>
      </w:r>
    </w:p>
    <w:p w:rsidR="00C5268A" w:rsidRDefault="00C5268A" w:rsidP="00C5268A">
      <w:pPr>
        <w:jc w:val="both"/>
        <w:rPr>
          <w:rFonts w:ascii="Arial" w:hAnsi="Arial" w:cs="Arial"/>
          <w:lang w:val="en-GB"/>
        </w:rPr>
      </w:pPr>
    </w:p>
    <w:p w:rsidR="00127858" w:rsidRPr="00C5268A" w:rsidRDefault="00127858" w:rsidP="00C5268A">
      <w:pPr>
        <w:jc w:val="both"/>
        <w:rPr>
          <w:rFonts w:ascii="Arial" w:hAnsi="Arial" w:cs="Arial"/>
          <w:b/>
          <w:sz w:val="24"/>
          <w:szCs w:val="24"/>
          <w:lang w:val="en-GB"/>
        </w:rPr>
      </w:pPr>
      <w:r w:rsidRPr="00C5268A">
        <w:rPr>
          <w:rFonts w:ascii="Arial" w:hAnsi="Arial" w:cs="Arial"/>
          <w:b/>
          <w:sz w:val="24"/>
          <w:szCs w:val="24"/>
          <w:lang w:val="en-GB"/>
        </w:rPr>
        <w:t>Bibliography</w:t>
      </w:r>
    </w:p>
    <w:p w:rsidR="00127858" w:rsidRPr="00C5268A" w:rsidRDefault="00127858" w:rsidP="00C5268A">
      <w:pPr>
        <w:jc w:val="both"/>
        <w:rPr>
          <w:rFonts w:ascii="Arial" w:hAnsi="Arial" w:cs="Arial"/>
          <w:lang w:val="en-GB"/>
        </w:rPr>
      </w:pPr>
      <w:r w:rsidRPr="00C5268A">
        <w:rPr>
          <w:rFonts w:ascii="Arial" w:hAnsi="Arial" w:cs="Arial"/>
          <w:lang w:val="en-GB"/>
        </w:rPr>
        <w:t xml:space="preserve">Biggs </w:t>
      </w:r>
      <w:r w:rsidR="00717D0B" w:rsidRPr="00C5268A">
        <w:rPr>
          <w:rFonts w:ascii="Arial" w:hAnsi="Arial" w:cs="Arial"/>
          <w:lang w:val="en-GB"/>
        </w:rPr>
        <w:t>J 1996</w:t>
      </w:r>
      <w:r w:rsidR="00BE10FD" w:rsidRPr="00C5268A">
        <w:rPr>
          <w:rFonts w:ascii="Arial" w:hAnsi="Arial" w:cs="Arial"/>
          <w:lang w:val="en-GB"/>
        </w:rPr>
        <w:t xml:space="preserve"> “Enhancing Teaching through Constructive Alignment” Higher Education 32: 347-364</w:t>
      </w:r>
    </w:p>
    <w:p w:rsidR="00127858" w:rsidRPr="00C5268A" w:rsidRDefault="00127858" w:rsidP="00C5268A">
      <w:pPr>
        <w:jc w:val="both"/>
        <w:rPr>
          <w:rFonts w:ascii="Arial" w:hAnsi="Arial" w:cs="Arial"/>
          <w:lang w:val="en-GB"/>
        </w:rPr>
      </w:pPr>
      <w:r w:rsidRPr="00C5268A">
        <w:rPr>
          <w:rFonts w:ascii="Arial" w:hAnsi="Arial" w:cs="Arial"/>
          <w:lang w:val="en-GB"/>
        </w:rPr>
        <w:t>Biggs J Tang C Teaching for Quality Learning at University 2007 3</w:t>
      </w:r>
      <w:r w:rsidRPr="00C5268A">
        <w:rPr>
          <w:rFonts w:ascii="Arial" w:hAnsi="Arial" w:cs="Arial"/>
          <w:vertAlign w:val="superscript"/>
          <w:lang w:val="en-GB"/>
        </w:rPr>
        <w:t>rd</w:t>
      </w:r>
      <w:r w:rsidRPr="00C5268A">
        <w:rPr>
          <w:rFonts w:ascii="Arial" w:hAnsi="Arial" w:cs="Arial"/>
          <w:lang w:val="en-GB"/>
        </w:rPr>
        <w:t xml:space="preserve"> Ed O.U.P</w:t>
      </w:r>
    </w:p>
    <w:p w:rsidR="00072173" w:rsidRPr="00C5268A" w:rsidRDefault="00072173" w:rsidP="00C5268A">
      <w:pPr>
        <w:jc w:val="both"/>
        <w:rPr>
          <w:rFonts w:ascii="Arial" w:hAnsi="Arial" w:cs="Arial"/>
          <w:lang w:val="en-GB"/>
        </w:rPr>
      </w:pPr>
      <w:r w:rsidRPr="00C5268A">
        <w:rPr>
          <w:rFonts w:ascii="Arial" w:hAnsi="Arial" w:cs="Arial"/>
          <w:lang w:val="en-GB"/>
        </w:rPr>
        <w:t>Dearing Report July 1997 Sir R Dearing Summary Report para</w:t>
      </w:r>
      <w:r w:rsidR="00FD76C6" w:rsidRPr="00C5268A">
        <w:rPr>
          <w:rFonts w:ascii="Arial" w:hAnsi="Arial" w:cs="Arial"/>
          <w:lang w:val="en-GB"/>
        </w:rPr>
        <w:t>graphs</w:t>
      </w:r>
      <w:r w:rsidRPr="00C5268A">
        <w:rPr>
          <w:rFonts w:ascii="Arial" w:hAnsi="Arial" w:cs="Arial"/>
          <w:lang w:val="en-GB"/>
        </w:rPr>
        <w:t xml:space="preserve"> 2-5</w:t>
      </w:r>
    </w:p>
    <w:p w:rsidR="00072173" w:rsidRPr="00C5268A" w:rsidRDefault="00072173" w:rsidP="00C5268A">
      <w:pPr>
        <w:jc w:val="both"/>
        <w:rPr>
          <w:rFonts w:ascii="Arial" w:hAnsi="Arial" w:cs="Arial"/>
          <w:lang w:val="en-GB"/>
        </w:rPr>
      </w:pPr>
      <w:r w:rsidRPr="00C5268A">
        <w:rPr>
          <w:rFonts w:ascii="Arial" w:hAnsi="Arial" w:cs="Arial"/>
          <w:lang w:val="en-GB"/>
        </w:rPr>
        <w:t xml:space="preserve">Maharg P 2010 Glasgow Graduate </w:t>
      </w:r>
      <w:r w:rsidR="00FD76C6" w:rsidRPr="00C5268A">
        <w:rPr>
          <w:rFonts w:ascii="Arial" w:hAnsi="Arial" w:cs="Arial"/>
          <w:lang w:val="en-GB"/>
        </w:rPr>
        <w:t>School of Law “The Phoenix of Legal Education” Higher Education Academy at p5</w:t>
      </w:r>
    </w:p>
    <w:p w:rsidR="00F53B9F" w:rsidRPr="00C5268A" w:rsidRDefault="00F53B9F" w:rsidP="00C5268A">
      <w:pPr>
        <w:jc w:val="both"/>
        <w:rPr>
          <w:rFonts w:ascii="Arial" w:hAnsi="Arial" w:cs="Arial"/>
          <w:lang w:val="en-GB"/>
        </w:rPr>
      </w:pPr>
      <w:r w:rsidRPr="00C5268A">
        <w:rPr>
          <w:rFonts w:ascii="Arial" w:hAnsi="Arial" w:cs="Arial"/>
          <w:lang w:val="en-GB"/>
        </w:rPr>
        <w:t>Ramsden P 1992 Learning to Teach in Higher Education London Routledge</w:t>
      </w:r>
    </w:p>
    <w:p w:rsidR="00127858" w:rsidRPr="00C5268A" w:rsidRDefault="00127858" w:rsidP="00C5268A">
      <w:pPr>
        <w:jc w:val="both"/>
        <w:rPr>
          <w:rFonts w:ascii="Arial" w:hAnsi="Arial" w:cs="Arial"/>
          <w:lang w:val="en-GB"/>
        </w:rPr>
      </w:pPr>
      <w:r w:rsidRPr="00C5268A">
        <w:rPr>
          <w:rFonts w:ascii="Arial" w:hAnsi="Arial" w:cs="Arial"/>
          <w:lang w:val="en-GB"/>
        </w:rPr>
        <w:t xml:space="preserve">Savery J Duffy T 2001 </w:t>
      </w:r>
      <w:r w:rsidR="00FD76C6" w:rsidRPr="00C5268A">
        <w:rPr>
          <w:rFonts w:ascii="Arial" w:hAnsi="Arial" w:cs="Arial"/>
          <w:lang w:val="en-GB"/>
        </w:rPr>
        <w:t>“</w:t>
      </w:r>
      <w:r w:rsidRPr="00C5268A">
        <w:rPr>
          <w:rFonts w:ascii="Arial" w:hAnsi="Arial" w:cs="Arial"/>
          <w:lang w:val="en-GB"/>
        </w:rPr>
        <w:t>Problem-Based Learning: An Instructional Mode</w:t>
      </w:r>
      <w:r w:rsidR="00072173" w:rsidRPr="00C5268A">
        <w:rPr>
          <w:rFonts w:ascii="Arial" w:hAnsi="Arial" w:cs="Arial"/>
          <w:lang w:val="en-GB"/>
        </w:rPr>
        <w:t>l and its Constructivist Framework</w:t>
      </w:r>
      <w:r w:rsidR="00FD76C6" w:rsidRPr="00C5268A">
        <w:rPr>
          <w:rFonts w:ascii="Arial" w:hAnsi="Arial" w:cs="Arial"/>
          <w:lang w:val="en-GB"/>
        </w:rPr>
        <w:t>”</w:t>
      </w:r>
      <w:r w:rsidR="00072173" w:rsidRPr="00C5268A">
        <w:rPr>
          <w:rFonts w:ascii="Arial" w:hAnsi="Arial" w:cs="Arial"/>
          <w:lang w:val="en-GB"/>
        </w:rPr>
        <w:t xml:space="preserve"> Center for Research on Learning Technology Report number 16-01</w:t>
      </w:r>
    </w:p>
    <w:p w:rsidR="00F53B9F" w:rsidRPr="00C5268A" w:rsidRDefault="00F53B9F" w:rsidP="00C5268A">
      <w:pPr>
        <w:jc w:val="both"/>
        <w:rPr>
          <w:rFonts w:ascii="Arial" w:hAnsi="Arial" w:cs="Arial"/>
          <w:lang w:val="en-GB"/>
        </w:rPr>
      </w:pPr>
      <w:r w:rsidRPr="00C5268A">
        <w:rPr>
          <w:rFonts w:ascii="Arial" w:hAnsi="Arial" w:cs="Arial"/>
          <w:lang w:val="en-GB"/>
        </w:rPr>
        <w:t xml:space="preserve">Tigelaar D Dolmans D Wolfhagen I Van Der Vleuten C 2004 “The Development and Validation of a Framework for Teaching Competencies in Higher Education” Higher Education </w:t>
      </w:r>
      <w:r w:rsidR="00BE10FD" w:rsidRPr="00C5268A">
        <w:rPr>
          <w:rFonts w:ascii="Arial" w:hAnsi="Arial" w:cs="Arial"/>
          <w:lang w:val="en-GB"/>
        </w:rPr>
        <w:t>48: 253-268</w:t>
      </w:r>
    </w:p>
    <w:p w:rsidR="00BE10FD" w:rsidRPr="00C5268A" w:rsidRDefault="00BE10FD" w:rsidP="00C5268A">
      <w:pPr>
        <w:jc w:val="both"/>
        <w:rPr>
          <w:rFonts w:ascii="Arial" w:hAnsi="Arial" w:cs="Arial"/>
          <w:lang w:val="en-GB"/>
        </w:rPr>
      </w:pPr>
      <w:r w:rsidRPr="00C5268A">
        <w:rPr>
          <w:rFonts w:ascii="Arial" w:hAnsi="Arial" w:cs="Arial"/>
          <w:lang w:val="en-GB"/>
        </w:rPr>
        <w:t>Trigwell K Prosser M Taylor P 1994 “Qualitative Differences in Approaches to Teaching First Year University Science” Higher Education 27: 75-84</w:t>
      </w:r>
    </w:p>
    <w:p w:rsidR="00BE10FD" w:rsidRPr="00C5268A" w:rsidRDefault="00FD76C6" w:rsidP="00C5268A">
      <w:pPr>
        <w:jc w:val="both"/>
        <w:rPr>
          <w:rFonts w:ascii="Arial" w:hAnsi="Arial" w:cs="Arial"/>
          <w:lang w:val="en-GB"/>
        </w:rPr>
      </w:pPr>
      <w:r w:rsidRPr="00C5268A">
        <w:rPr>
          <w:rFonts w:ascii="Arial" w:hAnsi="Arial" w:cs="Arial"/>
          <w:lang w:val="en-GB"/>
        </w:rPr>
        <w:t xml:space="preserve">Trigwell </w:t>
      </w:r>
      <w:r w:rsidR="00F53B9F" w:rsidRPr="00C5268A">
        <w:rPr>
          <w:rFonts w:ascii="Arial" w:hAnsi="Arial" w:cs="Arial"/>
          <w:lang w:val="en-GB"/>
        </w:rPr>
        <w:t>K Prosser M Waterhouse F 1999 “Relationships between Teachers Approaches to Teaching and Students Approaches to Learning” Higher Education 37: 57-70</w:t>
      </w:r>
    </w:p>
    <w:p w:rsidR="00072173" w:rsidRPr="00C5268A" w:rsidRDefault="00072173" w:rsidP="00C5268A">
      <w:pPr>
        <w:jc w:val="both"/>
        <w:rPr>
          <w:rFonts w:ascii="Arial" w:hAnsi="Arial" w:cs="Arial"/>
          <w:lang w:val="en-GB"/>
        </w:rPr>
      </w:pPr>
      <w:r w:rsidRPr="00C5268A">
        <w:rPr>
          <w:rFonts w:ascii="Arial" w:hAnsi="Arial" w:cs="Arial"/>
          <w:lang w:val="en-GB"/>
        </w:rPr>
        <w:t xml:space="preserve">Weiman C cited in </w:t>
      </w:r>
      <w:r w:rsidR="00FD76C6" w:rsidRPr="00C5268A">
        <w:rPr>
          <w:rFonts w:ascii="Arial" w:hAnsi="Arial" w:cs="Arial"/>
          <w:lang w:val="en-GB"/>
        </w:rPr>
        <w:t>“</w:t>
      </w:r>
      <w:r w:rsidRPr="00C5268A">
        <w:rPr>
          <w:rFonts w:ascii="Arial" w:hAnsi="Arial" w:cs="Arial"/>
          <w:lang w:val="en-GB"/>
        </w:rPr>
        <w:t>Linking Teaching and Research in Disciplines and Departments</w:t>
      </w:r>
      <w:r w:rsidR="00FD76C6" w:rsidRPr="00C5268A">
        <w:rPr>
          <w:rFonts w:ascii="Arial" w:hAnsi="Arial" w:cs="Arial"/>
          <w:lang w:val="en-GB"/>
        </w:rPr>
        <w:t>”</w:t>
      </w:r>
      <w:r w:rsidRPr="00C5268A">
        <w:rPr>
          <w:rFonts w:ascii="Arial" w:hAnsi="Arial" w:cs="Arial"/>
          <w:lang w:val="en-GB"/>
        </w:rPr>
        <w:t xml:space="preserve"> Jenkins A Healey M Zetter R at p5 Higher Education Academy 2007</w:t>
      </w:r>
    </w:p>
    <w:p w:rsidR="00FD76C6" w:rsidRPr="00C5268A" w:rsidRDefault="00FD76C6" w:rsidP="00C5268A">
      <w:pPr>
        <w:jc w:val="both"/>
        <w:rPr>
          <w:rFonts w:ascii="Arial" w:hAnsi="Arial" w:cs="Arial"/>
          <w:lang w:val="en-GB"/>
        </w:rPr>
      </w:pPr>
      <w:r w:rsidRPr="00C5268A">
        <w:rPr>
          <w:rFonts w:ascii="Arial" w:hAnsi="Arial" w:cs="Arial"/>
          <w:lang w:val="en-GB"/>
        </w:rPr>
        <w:t>Winkler G 2002 “Reflections and Theory: Conceptualising the Gap between Teaching Experience and Teaching Expertise” Journal of Vocational Education 54: 437- 448</w:t>
      </w:r>
    </w:p>
    <w:sectPr w:rsidR="00FD76C6" w:rsidRPr="00C5268A" w:rsidSect="00F25340">
      <w:headerReference w:type="default" r:id="rId7"/>
      <w:footerReference w:type="default" r:id="rId8"/>
      <w:pgSz w:w="12240" w:h="15840"/>
      <w:pgMar w:top="1953"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092" w:rsidRDefault="008D7092" w:rsidP="0009576F">
      <w:pPr>
        <w:spacing w:after="0" w:line="240" w:lineRule="auto"/>
      </w:pPr>
      <w:r>
        <w:separator/>
      </w:r>
    </w:p>
  </w:endnote>
  <w:endnote w:type="continuationSeparator" w:id="0">
    <w:p w:rsidR="008D7092" w:rsidRDefault="008D7092" w:rsidP="00095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9190"/>
      <w:docPartObj>
        <w:docPartGallery w:val="Page Numbers (Bottom of Page)"/>
        <w:docPartUnique/>
      </w:docPartObj>
    </w:sdtPr>
    <w:sdtContent>
      <w:p w:rsidR="008D7092" w:rsidRDefault="00745388">
        <w:pPr>
          <w:pStyle w:val="Footer"/>
          <w:jc w:val="center"/>
        </w:pPr>
        <w:fldSimple w:instr=" PAGE   \* MERGEFORMAT ">
          <w:r w:rsidR="00F93061">
            <w:rPr>
              <w:noProof/>
            </w:rPr>
            <w:t>1</w:t>
          </w:r>
        </w:fldSimple>
      </w:p>
    </w:sdtContent>
  </w:sdt>
  <w:p w:rsidR="008D7092" w:rsidRDefault="008D70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092" w:rsidRDefault="008D7092" w:rsidP="0009576F">
      <w:pPr>
        <w:spacing w:after="0" w:line="240" w:lineRule="auto"/>
      </w:pPr>
      <w:r>
        <w:separator/>
      </w:r>
    </w:p>
  </w:footnote>
  <w:footnote w:type="continuationSeparator" w:id="0">
    <w:p w:rsidR="008D7092" w:rsidRDefault="008D7092" w:rsidP="000957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340" w:rsidRPr="00416E51" w:rsidRDefault="00F25340" w:rsidP="00F25340">
    <w:pPr>
      <w:pStyle w:val="Header"/>
      <w:pBdr>
        <w:bottom w:val="single" w:sz="4" w:space="1" w:color="660066"/>
      </w:pBdr>
    </w:pPr>
    <w:r>
      <w:rPr>
        <w:noProof/>
        <w:lang w:val="en-GB" w:eastAsia="en-GB"/>
      </w:rPr>
      <w:drawing>
        <wp:inline distT="0" distB="0" distL="0" distR="0">
          <wp:extent cx="1304925" cy="609600"/>
          <wp:effectExtent l="19050" t="0" r="9525" b="0"/>
          <wp:docPr id="2" name="Picture 1" descr="Lilac Logo 201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lac Logo 2011 outline"/>
                  <pic:cNvPicPr>
                    <a:picLocks noChangeAspect="1" noChangeArrowheads="1"/>
                  </pic:cNvPicPr>
                </pic:nvPicPr>
                <pic:blipFill>
                  <a:blip r:embed="rId1"/>
                  <a:srcRect/>
                  <a:stretch>
                    <a:fillRect/>
                  </a:stretch>
                </pic:blipFill>
                <pic:spPr bwMode="auto">
                  <a:xfrm>
                    <a:off x="0" y="0"/>
                    <a:ext cx="1304925" cy="609600"/>
                  </a:xfrm>
                  <a:prstGeom prst="rect">
                    <a:avLst/>
                  </a:prstGeom>
                  <a:noFill/>
                  <a:ln w="9525">
                    <a:noFill/>
                    <a:miter lim="800000"/>
                    <a:headEnd/>
                    <a:tailEnd/>
                  </a:ln>
                </pic:spPr>
              </pic:pic>
            </a:graphicData>
          </a:graphic>
        </wp:inline>
      </w:drawing>
    </w:r>
    <w:r>
      <w:t xml:space="preserve">    </w:t>
    </w:r>
    <w:r w:rsidRPr="00416E51">
      <w:rPr>
        <w:rFonts w:ascii="Arial" w:hAnsi="Arial" w:cs="Arial"/>
        <w:color w:val="660066"/>
      </w:rPr>
      <w:t>Paper to be presented at Learning in Law Annual Conference 2011</w:t>
    </w:r>
  </w:p>
  <w:p w:rsidR="00F25340" w:rsidRDefault="00F253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2E03F0"/>
    <w:rsid w:val="00014B48"/>
    <w:rsid w:val="00025CF5"/>
    <w:rsid w:val="00033021"/>
    <w:rsid w:val="000362DF"/>
    <w:rsid w:val="00072173"/>
    <w:rsid w:val="00090389"/>
    <w:rsid w:val="0009576F"/>
    <w:rsid w:val="000D78C8"/>
    <w:rsid w:val="000E0A23"/>
    <w:rsid w:val="00106152"/>
    <w:rsid w:val="00110525"/>
    <w:rsid w:val="00127858"/>
    <w:rsid w:val="001A7237"/>
    <w:rsid w:val="001D5006"/>
    <w:rsid w:val="001F1931"/>
    <w:rsid w:val="002A33B2"/>
    <w:rsid w:val="002A3DD6"/>
    <w:rsid w:val="002E03F0"/>
    <w:rsid w:val="002F0197"/>
    <w:rsid w:val="0030611B"/>
    <w:rsid w:val="003136C6"/>
    <w:rsid w:val="00323687"/>
    <w:rsid w:val="003C78EE"/>
    <w:rsid w:val="004203DB"/>
    <w:rsid w:val="004628AC"/>
    <w:rsid w:val="00484E15"/>
    <w:rsid w:val="004E19A8"/>
    <w:rsid w:val="00511BB3"/>
    <w:rsid w:val="0051581D"/>
    <w:rsid w:val="00523E9D"/>
    <w:rsid w:val="005413D1"/>
    <w:rsid w:val="005E6BE6"/>
    <w:rsid w:val="005F24F0"/>
    <w:rsid w:val="00603D18"/>
    <w:rsid w:val="00640E0D"/>
    <w:rsid w:val="006500E3"/>
    <w:rsid w:val="006617BF"/>
    <w:rsid w:val="00665F33"/>
    <w:rsid w:val="00680A31"/>
    <w:rsid w:val="006B76A0"/>
    <w:rsid w:val="006C12D4"/>
    <w:rsid w:val="006D6921"/>
    <w:rsid w:val="00705912"/>
    <w:rsid w:val="0071219D"/>
    <w:rsid w:val="00717D0B"/>
    <w:rsid w:val="00745388"/>
    <w:rsid w:val="00763060"/>
    <w:rsid w:val="00767113"/>
    <w:rsid w:val="0077644A"/>
    <w:rsid w:val="007C2615"/>
    <w:rsid w:val="007F4949"/>
    <w:rsid w:val="00812EC1"/>
    <w:rsid w:val="00830E23"/>
    <w:rsid w:val="0085258E"/>
    <w:rsid w:val="00855673"/>
    <w:rsid w:val="0089435A"/>
    <w:rsid w:val="008D233D"/>
    <w:rsid w:val="008D7092"/>
    <w:rsid w:val="00924F86"/>
    <w:rsid w:val="009269FC"/>
    <w:rsid w:val="009A1F98"/>
    <w:rsid w:val="009A5317"/>
    <w:rsid w:val="009D4C44"/>
    <w:rsid w:val="00A644AD"/>
    <w:rsid w:val="00A70CB0"/>
    <w:rsid w:val="00A93007"/>
    <w:rsid w:val="00A9552F"/>
    <w:rsid w:val="00AD13BB"/>
    <w:rsid w:val="00AF0434"/>
    <w:rsid w:val="00B22D42"/>
    <w:rsid w:val="00B36491"/>
    <w:rsid w:val="00B45B19"/>
    <w:rsid w:val="00B51E88"/>
    <w:rsid w:val="00B62EC3"/>
    <w:rsid w:val="00BB78EA"/>
    <w:rsid w:val="00BC74E5"/>
    <w:rsid w:val="00BD1B10"/>
    <w:rsid w:val="00BD3469"/>
    <w:rsid w:val="00BE10FD"/>
    <w:rsid w:val="00C16E1B"/>
    <w:rsid w:val="00C20247"/>
    <w:rsid w:val="00C5268A"/>
    <w:rsid w:val="00C66C4B"/>
    <w:rsid w:val="00CB4C01"/>
    <w:rsid w:val="00CE2F0B"/>
    <w:rsid w:val="00D07DC2"/>
    <w:rsid w:val="00D25134"/>
    <w:rsid w:val="00D44381"/>
    <w:rsid w:val="00D75DC3"/>
    <w:rsid w:val="00D80A16"/>
    <w:rsid w:val="00DA07B9"/>
    <w:rsid w:val="00DB2855"/>
    <w:rsid w:val="00DC7166"/>
    <w:rsid w:val="00E17166"/>
    <w:rsid w:val="00E302F6"/>
    <w:rsid w:val="00E376B5"/>
    <w:rsid w:val="00E45BE0"/>
    <w:rsid w:val="00E56397"/>
    <w:rsid w:val="00EA4568"/>
    <w:rsid w:val="00EB0C68"/>
    <w:rsid w:val="00EB1878"/>
    <w:rsid w:val="00F07944"/>
    <w:rsid w:val="00F25340"/>
    <w:rsid w:val="00F33805"/>
    <w:rsid w:val="00F45736"/>
    <w:rsid w:val="00F53B9F"/>
    <w:rsid w:val="00F65177"/>
    <w:rsid w:val="00F93061"/>
    <w:rsid w:val="00FD76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C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76F"/>
  </w:style>
  <w:style w:type="paragraph" w:styleId="Footer">
    <w:name w:val="footer"/>
    <w:basedOn w:val="Normal"/>
    <w:link w:val="FooterChar"/>
    <w:uiPriority w:val="99"/>
    <w:unhideWhenUsed/>
    <w:rsid w:val="00095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76F"/>
  </w:style>
  <w:style w:type="paragraph" w:styleId="BalloonText">
    <w:name w:val="Balloon Text"/>
    <w:basedOn w:val="Normal"/>
    <w:link w:val="BalloonTextChar"/>
    <w:uiPriority w:val="99"/>
    <w:semiHidden/>
    <w:unhideWhenUsed/>
    <w:rsid w:val="00095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7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06EB4F9-B40A-4E47-B8EA-A048BC128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4</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Kelly</dc:creator>
  <cp:keywords/>
  <dc:description/>
  <cp:lastModifiedBy>IT Services</cp:lastModifiedBy>
  <cp:revision>42</cp:revision>
  <cp:lastPrinted>2011-01-09T13:26:00Z</cp:lastPrinted>
  <dcterms:created xsi:type="dcterms:W3CDTF">2011-01-08T09:50:00Z</dcterms:created>
  <dcterms:modified xsi:type="dcterms:W3CDTF">2011-01-18T13:02:00Z</dcterms:modified>
</cp:coreProperties>
</file>